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BE354" w14:textId="55C8F14C" w:rsidR="00416612" w:rsidRPr="00322B46" w:rsidRDefault="00416612" w:rsidP="00416612">
      <w:pPr>
        <w:pStyle w:val="Header"/>
        <w:widowControl w:val="0"/>
        <w:tabs>
          <w:tab w:val="clear" w:pos="4153"/>
          <w:tab w:val="clear" w:pos="8306"/>
          <w:tab w:val="left" w:pos="1701"/>
          <w:tab w:val="right" w:pos="9923"/>
        </w:tabs>
        <w:spacing w:before="120"/>
        <w:rPr>
          <w:rFonts w:eastAsia="PMingLiU"/>
          <w:b/>
          <w:sz w:val="24"/>
          <w:szCs w:val="24"/>
          <w:lang w:eastAsia="zh-TW"/>
        </w:rPr>
      </w:pPr>
      <w:r w:rsidRPr="00322B46">
        <w:rPr>
          <w:rFonts w:eastAsia="PMingLiU"/>
          <w:b/>
          <w:sz w:val="24"/>
          <w:szCs w:val="24"/>
          <w:lang w:eastAsia="zh-TW"/>
        </w:rPr>
        <w:t>3GPP TSG-RAN WG2 Meeting #121</w:t>
      </w:r>
      <w:r w:rsidRPr="00322B46">
        <w:rPr>
          <w:rFonts w:eastAsia="PMingLiU"/>
          <w:b/>
          <w:sz w:val="24"/>
          <w:szCs w:val="24"/>
          <w:lang w:eastAsia="zh-TW"/>
        </w:rPr>
        <w:tab/>
      </w:r>
      <w:r w:rsidR="00CE518B" w:rsidRPr="00CE518B">
        <w:rPr>
          <w:rFonts w:eastAsia="PMingLiU"/>
          <w:b/>
          <w:sz w:val="24"/>
          <w:szCs w:val="24"/>
          <w:lang w:eastAsia="zh-TW"/>
        </w:rPr>
        <w:t>R2-2300592</w:t>
      </w:r>
    </w:p>
    <w:p w14:paraId="2F7D0DB8" w14:textId="77777777" w:rsidR="00416612" w:rsidRPr="00322B46" w:rsidRDefault="00416612" w:rsidP="00416612">
      <w:pPr>
        <w:pStyle w:val="Header"/>
        <w:widowControl w:val="0"/>
        <w:tabs>
          <w:tab w:val="clear" w:pos="4153"/>
          <w:tab w:val="clear" w:pos="8306"/>
          <w:tab w:val="left" w:pos="1701"/>
          <w:tab w:val="right" w:pos="9923"/>
        </w:tabs>
        <w:spacing w:before="120"/>
        <w:rPr>
          <w:rFonts w:eastAsia="PMingLiU"/>
          <w:b/>
          <w:sz w:val="24"/>
          <w:szCs w:val="24"/>
          <w:lang w:eastAsia="zh-TW"/>
        </w:rPr>
      </w:pPr>
      <w:r w:rsidRPr="00322B46">
        <w:rPr>
          <w:rFonts w:eastAsia="PMingLiU"/>
          <w:b/>
          <w:sz w:val="24"/>
          <w:szCs w:val="24"/>
          <w:lang w:eastAsia="zh-TW"/>
        </w:rPr>
        <w:t>Athens, Greece, February-March, 2023</w:t>
      </w:r>
    </w:p>
    <w:p w14:paraId="6B841D97" w14:textId="77777777" w:rsidR="00416612" w:rsidRDefault="00416612" w:rsidP="00416612">
      <w:pPr>
        <w:widowControl w:val="0"/>
        <w:pBdr>
          <w:top w:val="nil"/>
          <w:left w:val="nil"/>
          <w:bottom w:val="nil"/>
          <w:right w:val="nil"/>
          <w:between w:val="nil"/>
        </w:pBdr>
        <w:tabs>
          <w:tab w:val="right" w:pos="10206"/>
        </w:tabs>
        <w:spacing w:after="0" w:line="360" w:lineRule="auto"/>
        <w:rPr>
          <w:color w:val="000000"/>
          <w:sz w:val="24"/>
          <w:szCs w:val="24"/>
        </w:rPr>
      </w:pPr>
    </w:p>
    <w:p w14:paraId="46700A37" w14:textId="27FCB345" w:rsidR="00416612" w:rsidRDefault="00416612" w:rsidP="00416612">
      <w:pPr>
        <w:tabs>
          <w:tab w:val="left" w:pos="1985"/>
        </w:tabs>
        <w:spacing w:after="0" w:line="360" w:lineRule="auto"/>
        <w:ind w:left="1985" w:hanging="1985"/>
        <w:rPr>
          <w:sz w:val="24"/>
          <w:szCs w:val="24"/>
        </w:rPr>
      </w:pPr>
      <w:r>
        <w:rPr>
          <w:b/>
          <w:sz w:val="24"/>
          <w:szCs w:val="24"/>
        </w:rPr>
        <w:t>Agenda Item</w:t>
      </w:r>
      <w:r>
        <w:rPr>
          <w:b/>
          <w:sz w:val="24"/>
          <w:szCs w:val="24"/>
        </w:rPr>
        <w:tab/>
        <w:t>:</w:t>
      </w:r>
      <w:r>
        <w:rPr>
          <w:b/>
          <w:sz w:val="24"/>
          <w:szCs w:val="24"/>
        </w:rPr>
        <w:tab/>
        <w:t>8.5.</w:t>
      </w:r>
      <w:r w:rsidR="000F0ED3">
        <w:rPr>
          <w:b/>
          <w:sz w:val="24"/>
          <w:szCs w:val="24"/>
        </w:rPr>
        <w:t>4</w:t>
      </w:r>
    </w:p>
    <w:p w14:paraId="5344AA3C" w14:textId="482AEB74" w:rsidR="00416612" w:rsidRDefault="00416612" w:rsidP="00416612">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r>
      <w:r w:rsidR="000F0ED3">
        <w:rPr>
          <w:b/>
          <w:sz w:val="24"/>
          <w:szCs w:val="24"/>
        </w:rPr>
        <w:t>XR-Specific capacity improvements</w:t>
      </w:r>
    </w:p>
    <w:p w14:paraId="0C4399DD" w14:textId="77777777" w:rsidR="00416612" w:rsidRDefault="00416612" w:rsidP="00416612">
      <w:pPr>
        <w:tabs>
          <w:tab w:val="left" w:pos="1985"/>
        </w:tabs>
        <w:spacing w:after="0" w:line="360" w:lineRule="auto"/>
        <w:ind w:left="1985" w:hanging="1985"/>
        <w:rPr>
          <w:sz w:val="24"/>
          <w:szCs w:val="24"/>
        </w:rPr>
      </w:pPr>
      <w:r>
        <w:rPr>
          <w:b/>
          <w:sz w:val="24"/>
          <w:szCs w:val="24"/>
        </w:rPr>
        <w:t>Source</w:t>
      </w:r>
      <w:r>
        <w:rPr>
          <w:b/>
          <w:sz w:val="24"/>
          <w:szCs w:val="24"/>
        </w:rPr>
        <w:tab/>
        <w:t>:</w:t>
      </w:r>
      <w:r>
        <w:rPr>
          <w:b/>
          <w:sz w:val="24"/>
          <w:szCs w:val="24"/>
        </w:rPr>
        <w:tab/>
        <w:t>Google Inc.</w:t>
      </w:r>
    </w:p>
    <w:p w14:paraId="18727380" w14:textId="117E741B" w:rsidR="00416612" w:rsidRDefault="00416612" w:rsidP="00416612">
      <w:pPr>
        <w:tabs>
          <w:tab w:val="left" w:pos="1985"/>
        </w:tabs>
        <w:rPr>
          <w:b/>
          <w:sz w:val="24"/>
          <w:szCs w:val="24"/>
        </w:rPr>
      </w:pPr>
      <w:r>
        <w:rPr>
          <w:b/>
          <w:sz w:val="24"/>
          <w:szCs w:val="24"/>
        </w:rPr>
        <w:t>Document for</w:t>
      </w:r>
      <w:r>
        <w:rPr>
          <w:b/>
          <w:sz w:val="24"/>
          <w:szCs w:val="24"/>
        </w:rPr>
        <w:tab/>
        <w:t>:</w:t>
      </w:r>
      <w:r>
        <w:rPr>
          <w:b/>
          <w:sz w:val="24"/>
          <w:szCs w:val="24"/>
        </w:rPr>
        <w:tab/>
        <w:t>Discussion and Decision</w:t>
      </w:r>
    </w:p>
    <w:p w14:paraId="51A48D06" w14:textId="77777777" w:rsidR="000F0ED3" w:rsidRDefault="000F0ED3" w:rsidP="000F0ED3">
      <w:pPr>
        <w:pStyle w:val="NormalWeb"/>
        <w:spacing w:before="0" w:beforeAutospacing="0" w:after="0" w:afterAutospacing="0"/>
        <w:rPr>
          <w:rFonts w:ascii="Arial" w:eastAsia="MS Mincho" w:hAnsi="Arial" w:cs="Arial"/>
          <w:b/>
          <w:bCs/>
          <w:sz w:val="28"/>
          <w:szCs w:val="20"/>
          <w:lang w:eastAsia="ja-JP"/>
        </w:rPr>
      </w:pPr>
    </w:p>
    <w:p w14:paraId="30C2F25A" w14:textId="77777777" w:rsidR="000F0ED3" w:rsidRPr="00072936" w:rsidRDefault="000F0ED3" w:rsidP="00692C2F">
      <w:pPr>
        <w:pStyle w:val="Heading1"/>
        <w:numPr>
          <w:ilvl w:val="0"/>
          <w:numId w:val="26"/>
        </w:numPr>
        <w:jc w:val="both"/>
      </w:pPr>
      <w:r w:rsidRPr="00072936">
        <w:rPr>
          <w:rFonts w:hint="eastAsia"/>
        </w:rPr>
        <w:t>Introduction</w:t>
      </w:r>
    </w:p>
    <w:p w14:paraId="41D83200" w14:textId="052B09E7" w:rsidR="000F0ED3" w:rsidRDefault="000F0ED3" w:rsidP="000F0ED3">
      <w:pPr>
        <w:jc w:val="both"/>
        <w:rPr>
          <w:bCs/>
          <w:sz w:val="24"/>
          <w:szCs w:val="24"/>
          <w:lang w:eastAsia="zh-CN"/>
        </w:rPr>
      </w:pPr>
      <w:r w:rsidRPr="000C191B">
        <w:rPr>
          <w:rFonts w:eastAsia="SimSun"/>
          <w:sz w:val="24"/>
          <w:szCs w:val="24"/>
          <w:lang w:val="en-US" w:eastAsia="ja-JP"/>
        </w:rPr>
        <w:t xml:space="preserve">A new Rel-18 Work Item for XR enhancements in NR has been approved in RAN#98-e </w:t>
      </w:r>
      <w:r w:rsidRPr="000C191B">
        <w:rPr>
          <w:rFonts w:eastAsia="SimSun"/>
          <w:sz w:val="24"/>
          <w:szCs w:val="24"/>
          <w:lang w:val="en-US" w:eastAsia="ja-JP"/>
        </w:rPr>
        <w:fldChar w:fldCharType="begin"/>
      </w:r>
      <w:r w:rsidRPr="000C191B">
        <w:rPr>
          <w:rFonts w:eastAsia="SimSun"/>
          <w:sz w:val="24"/>
          <w:szCs w:val="24"/>
          <w:lang w:val="en-US" w:eastAsia="ja-JP"/>
        </w:rPr>
        <w:instrText xml:space="preserve"> REF _Ref125548390 \r \h </w:instrText>
      </w:r>
      <w:r>
        <w:rPr>
          <w:rFonts w:eastAsia="SimSun"/>
          <w:sz w:val="24"/>
          <w:szCs w:val="24"/>
          <w:lang w:val="en-US" w:eastAsia="ja-JP"/>
        </w:rPr>
        <w:instrText xml:space="preserve"> \* MERGEFORMAT </w:instrText>
      </w:r>
      <w:r w:rsidRPr="000C191B">
        <w:rPr>
          <w:rFonts w:eastAsia="SimSun"/>
          <w:sz w:val="24"/>
          <w:szCs w:val="24"/>
          <w:lang w:val="en-US" w:eastAsia="ja-JP"/>
        </w:rPr>
      </w:r>
      <w:r w:rsidRPr="000C191B">
        <w:rPr>
          <w:rFonts w:eastAsia="SimSun"/>
          <w:sz w:val="24"/>
          <w:szCs w:val="24"/>
          <w:lang w:val="en-US" w:eastAsia="ja-JP"/>
        </w:rPr>
        <w:fldChar w:fldCharType="separate"/>
      </w:r>
      <w:r w:rsidRPr="000C191B">
        <w:rPr>
          <w:rFonts w:eastAsia="SimSun"/>
          <w:sz w:val="24"/>
          <w:szCs w:val="24"/>
          <w:lang w:val="en-US" w:eastAsia="ja-JP"/>
        </w:rPr>
        <w:t>[1]</w:t>
      </w:r>
      <w:r w:rsidRPr="000C191B">
        <w:rPr>
          <w:rFonts w:eastAsia="SimSun"/>
          <w:sz w:val="24"/>
          <w:szCs w:val="24"/>
          <w:lang w:val="en-US" w:eastAsia="ja-JP"/>
        </w:rPr>
        <w:fldChar w:fldCharType="end"/>
      </w:r>
      <w:r w:rsidRPr="000C191B">
        <w:rPr>
          <w:bCs/>
          <w:sz w:val="24"/>
          <w:szCs w:val="24"/>
          <w:lang w:eastAsia="zh-CN"/>
        </w:rPr>
        <w:t xml:space="preserve">. </w:t>
      </w:r>
      <w:r w:rsidR="00692C2F">
        <w:rPr>
          <w:bCs/>
          <w:sz w:val="24"/>
          <w:szCs w:val="24"/>
          <w:lang w:eastAsia="zh-CN"/>
        </w:rPr>
        <w:t>Multiple</w:t>
      </w:r>
      <w:r w:rsidRPr="000C191B">
        <w:rPr>
          <w:bCs/>
          <w:sz w:val="24"/>
          <w:szCs w:val="24"/>
          <w:lang w:eastAsia="zh-CN"/>
        </w:rPr>
        <w:t xml:space="preserve"> enhancements related to the system capacity are to be specified in RAN1</w:t>
      </w:r>
      <w:r w:rsidR="00692C2F">
        <w:rPr>
          <w:bCs/>
          <w:sz w:val="24"/>
          <w:szCs w:val="24"/>
          <w:lang w:eastAsia="zh-CN"/>
        </w:rPr>
        <w:t xml:space="preserve"> and RAN2 including</w:t>
      </w:r>
      <w:r w:rsidRPr="000C191B">
        <w:rPr>
          <w:bCs/>
          <w:sz w:val="24"/>
          <w:szCs w:val="24"/>
          <w:lang w:eastAsia="zh-CN"/>
        </w:rPr>
        <w:t xml:space="preserve"> </w:t>
      </w:r>
      <w:r w:rsidRPr="000C191B">
        <w:rPr>
          <w:bCs/>
          <w:sz w:val="24"/>
          <w:szCs w:val="24"/>
          <w:lang w:eastAsia="zh-CN"/>
        </w:rPr>
        <w:fldChar w:fldCharType="begin"/>
      </w:r>
      <w:r w:rsidRPr="000C191B">
        <w:rPr>
          <w:bCs/>
          <w:sz w:val="24"/>
          <w:szCs w:val="24"/>
          <w:lang w:eastAsia="zh-CN"/>
        </w:rPr>
        <w:instrText xml:space="preserve"> REF _Ref125548390 \r \h </w:instrText>
      </w:r>
      <w:r>
        <w:rPr>
          <w:bCs/>
          <w:sz w:val="24"/>
          <w:szCs w:val="24"/>
          <w:lang w:eastAsia="zh-CN"/>
        </w:rPr>
        <w:instrText xml:space="preserve"> \* MERGEFORMAT </w:instrText>
      </w:r>
      <w:r w:rsidRPr="000C191B">
        <w:rPr>
          <w:bCs/>
          <w:sz w:val="24"/>
          <w:szCs w:val="24"/>
          <w:lang w:eastAsia="zh-CN"/>
        </w:rPr>
      </w:r>
      <w:r w:rsidRPr="000C191B">
        <w:rPr>
          <w:bCs/>
          <w:sz w:val="24"/>
          <w:szCs w:val="24"/>
          <w:lang w:eastAsia="zh-CN"/>
        </w:rPr>
        <w:fldChar w:fldCharType="separate"/>
      </w:r>
      <w:r w:rsidRPr="000C191B">
        <w:rPr>
          <w:bCs/>
          <w:sz w:val="24"/>
          <w:szCs w:val="24"/>
          <w:lang w:eastAsia="zh-CN"/>
        </w:rPr>
        <w:t>[1]</w:t>
      </w:r>
      <w:r w:rsidRPr="000C191B">
        <w:rPr>
          <w:bCs/>
          <w:sz w:val="24"/>
          <w:szCs w:val="24"/>
          <w:lang w:eastAsia="zh-CN"/>
        </w:rPr>
        <w:fldChar w:fldCharType="end"/>
      </w:r>
      <w:r w:rsidRPr="000C191B">
        <w:rPr>
          <w:bCs/>
          <w:sz w:val="24"/>
          <w:szCs w:val="24"/>
          <w:lang w:eastAsia="zh-CN"/>
        </w:rPr>
        <w:t>:</w:t>
      </w:r>
    </w:p>
    <w:p w14:paraId="1E02F288" w14:textId="07C0DFC0" w:rsidR="000F0ED3" w:rsidRPr="00CD0148" w:rsidRDefault="000F0ED3" w:rsidP="000F0ED3">
      <w:pPr>
        <w:pStyle w:val="B2"/>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r>
      <w:r w:rsidR="00692C2F">
        <w:rPr>
          <w:rFonts w:eastAsia="PMingLiU"/>
          <w:bCs/>
          <w:sz w:val="24"/>
          <w:szCs w:val="24"/>
          <w:lang w:eastAsia="zh-CN"/>
        </w:rPr>
        <w:t xml:space="preserve"> </w:t>
      </w:r>
      <w:r w:rsidRPr="00CD0148">
        <w:rPr>
          <w:rFonts w:eastAsia="PMingLiU"/>
          <w:bCs/>
          <w:sz w:val="24"/>
          <w:szCs w:val="24"/>
          <w:lang w:eastAsia="zh-CN"/>
        </w:rPr>
        <w:t xml:space="preserve">Multiple CG PUSCH transmission occasions in a period of a single CG PUSCH configuration </w:t>
      </w:r>
    </w:p>
    <w:p w14:paraId="18FA4C3E" w14:textId="467EC10D" w:rsidR="00692C2F" w:rsidRDefault="000F0ED3" w:rsidP="00692C2F">
      <w:pPr>
        <w:pStyle w:val="B2"/>
        <w:rPr>
          <w:rFonts w:eastAsia="PMingLiU"/>
          <w:bCs/>
          <w:sz w:val="24"/>
          <w:szCs w:val="24"/>
          <w:lang w:eastAsia="zh-CN"/>
        </w:rPr>
      </w:pPr>
      <w:r w:rsidRPr="00CD0148">
        <w:rPr>
          <w:rFonts w:eastAsia="PMingLiU"/>
          <w:bCs/>
          <w:sz w:val="24"/>
          <w:szCs w:val="24"/>
          <w:lang w:eastAsia="zh-CN"/>
        </w:rPr>
        <w:t>-</w:t>
      </w:r>
      <w:r w:rsidRPr="00CD0148">
        <w:rPr>
          <w:rFonts w:eastAsia="PMingLiU"/>
          <w:bCs/>
          <w:sz w:val="24"/>
          <w:szCs w:val="24"/>
          <w:lang w:eastAsia="zh-CN"/>
        </w:rPr>
        <w:tab/>
      </w:r>
      <w:r w:rsidR="00692C2F">
        <w:rPr>
          <w:rFonts w:eastAsia="PMingLiU"/>
          <w:bCs/>
          <w:sz w:val="24"/>
          <w:szCs w:val="24"/>
          <w:lang w:eastAsia="zh-CN"/>
        </w:rPr>
        <w:t xml:space="preserve"> </w:t>
      </w:r>
      <w:r w:rsidRPr="00CD0148">
        <w:rPr>
          <w:rFonts w:eastAsia="PMingLiU"/>
          <w:bCs/>
          <w:sz w:val="24"/>
          <w:szCs w:val="24"/>
          <w:lang w:eastAsia="zh-CN"/>
        </w:rPr>
        <w:t>Dynamic indication of unused CG PUSCH occasion(s) based on UCI by the UE</w:t>
      </w:r>
    </w:p>
    <w:p w14:paraId="256DF32A" w14:textId="1B773025" w:rsidR="00692C2F" w:rsidRPr="000C191B" w:rsidRDefault="00692C2F" w:rsidP="00692C2F">
      <w:pPr>
        <w:pStyle w:val="B2"/>
        <w:numPr>
          <w:ilvl w:val="0"/>
          <w:numId w:val="25"/>
        </w:numPr>
        <w:rPr>
          <w:rFonts w:eastAsia="PMingLiU"/>
          <w:bCs/>
          <w:sz w:val="24"/>
          <w:szCs w:val="24"/>
          <w:lang w:eastAsia="zh-CN"/>
        </w:rPr>
      </w:pPr>
      <w:r w:rsidRPr="00692C2F">
        <w:rPr>
          <w:rFonts w:eastAsia="PMingLiU"/>
          <w:bCs/>
          <w:sz w:val="24"/>
          <w:szCs w:val="24"/>
          <w:lang w:eastAsia="zh-CN"/>
        </w:rPr>
        <w:t>BSR enhancements including at least new BS Table(s)</w:t>
      </w:r>
    </w:p>
    <w:p w14:paraId="2EE7BEF1" w14:textId="0D547BEE" w:rsidR="000F0ED3" w:rsidRPr="00EE036A" w:rsidRDefault="000F0ED3" w:rsidP="000F0ED3">
      <w:pPr>
        <w:jc w:val="both"/>
        <w:rPr>
          <w:rFonts w:eastAsia="SimSun"/>
          <w:sz w:val="24"/>
          <w:szCs w:val="24"/>
          <w:lang w:val="en-US" w:eastAsia="ja-JP"/>
        </w:rPr>
      </w:pPr>
      <w:r w:rsidRPr="00EE036A">
        <w:rPr>
          <w:rFonts w:eastAsia="SimSun"/>
          <w:sz w:val="24"/>
          <w:szCs w:val="24"/>
          <w:lang w:val="en-US" w:eastAsia="ja-JP"/>
        </w:rPr>
        <w:t xml:space="preserve">In this </w:t>
      </w:r>
      <w:proofErr w:type="spellStart"/>
      <w:r w:rsidRPr="00EE036A">
        <w:rPr>
          <w:rFonts w:eastAsia="SimSun"/>
          <w:sz w:val="24"/>
          <w:szCs w:val="24"/>
          <w:lang w:val="en-US" w:eastAsia="ja-JP"/>
        </w:rPr>
        <w:t>Tdoc</w:t>
      </w:r>
      <w:proofErr w:type="spellEnd"/>
      <w:r w:rsidRPr="00EE036A">
        <w:rPr>
          <w:rFonts w:eastAsia="SimSun"/>
          <w:sz w:val="24"/>
          <w:szCs w:val="24"/>
          <w:lang w:val="en-US" w:eastAsia="ja-JP"/>
        </w:rPr>
        <w:t xml:space="preserve">, we </w:t>
      </w:r>
      <w:r>
        <w:rPr>
          <w:rFonts w:eastAsia="SimSun"/>
          <w:sz w:val="24"/>
          <w:szCs w:val="24"/>
          <w:lang w:val="en-US" w:eastAsia="ja-JP"/>
        </w:rPr>
        <w:t xml:space="preserve">propose some techniques to specify the enhancements above. </w:t>
      </w:r>
    </w:p>
    <w:p w14:paraId="0B94E81D" w14:textId="77777777" w:rsidR="000F0ED3" w:rsidRDefault="000F0ED3" w:rsidP="000F0ED3">
      <w:pPr>
        <w:rPr>
          <w:rFonts w:eastAsia="SimSun"/>
          <w:lang w:val="en-US" w:eastAsia="ja-JP"/>
        </w:rPr>
      </w:pPr>
    </w:p>
    <w:p w14:paraId="6A995BBA" w14:textId="77777777" w:rsidR="000F0ED3" w:rsidRPr="005A3B77" w:rsidRDefault="000F0ED3" w:rsidP="00692C2F">
      <w:pPr>
        <w:pStyle w:val="Heading1"/>
        <w:numPr>
          <w:ilvl w:val="0"/>
          <w:numId w:val="26"/>
        </w:numPr>
        <w:jc w:val="both"/>
      </w:pPr>
      <w:r w:rsidRPr="005A3B77">
        <w:t>Multiple CG PUSCH transmission occasions</w:t>
      </w:r>
    </w:p>
    <w:p w14:paraId="1860DB72" w14:textId="77777777" w:rsidR="000F0ED3" w:rsidRDefault="000F0ED3" w:rsidP="000F0ED3">
      <w:pPr>
        <w:jc w:val="both"/>
        <w:rPr>
          <w:sz w:val="24"/>
          <w:szCs w:val="24"/>
        </w:rPr>
      </w:pPr>
      <w:r>
        <w:rPr>
          <w:sz w:val="24"/>
          <w:szCs w:val="24"/>
        </w:rPr>
        <w:t>The support of multiple PUSCH occasions in a CG period is beneficial to reduce latency for XR and improve performance.</w:t>
      </w:r>
    </w:p>
    <w:p w14:paraId="56CF54F7" w14:textId="77777777" w:rsidR="000F0ED3" w:rsidRDefault="000F0ED3" w:rsidP="000F0ED3">
      <w:pPr>
        <w:jc w:val="both"/>
        <w:rPr>
          <w:sz w:val="24"/>
          <w:szCs w:val="24"/>
        </w:rPr>
      </w:pPr>
      <w:r w:rsidRPr="005A3B77">
        <w:rPr>
          <w:sz w:val="24"/>
          <w:szCs w:val="24"/>
        </w:rPr>
        <w:t>R</w:t>
      </w:r>
      <w:r>
        <w:rPr>
          <w:sz w:val="24"/>
          <w:szCs w:val="24"/>
        </w:rPr>
        <w:t>el-</w:t>
      </w:r>
      <w:r w:rsidRPr="005A3B77">
        <w:rPr>
          <w:sz w:val="24"/>
          <w:szCs w:val="24"/>
        </w:rPr>
        <w:t>16 NR-U</w:t>
      </w:r>
      <w:r>
        <w:rPr>
          <w:sz w:val="24"/>
          <w:szCs w:val="24"/>
        </w:rPr>
        <w:t xml:space="preserve"> specification includes the use of CG with multiple CG PUSCH occasions within a period. The Rel-16 NR-U feature should be considered the basis for this XR enhancement in Rel-18. </w:t>
      </w:r>
    </w:p>
    <w:p w14:paraId="6AFB7C8B" w14:textId="77777777" w:rsidR="000F0ED3" w:rsidRDefault="000F0ED3" w:rsidP="000F0ED3">
      <w:pPr>
        <w:jc w:val="both"/>
        <w:rPr>
          <w:sz w:val="24"/>
          <w:szCs w:val="24"/>
        </w:rPr>
      </w:pPr>
      <w:r>
        <w:rPr>
          <w:sz w:val="24"/>
          <w:szCs w:val="24"/>
        </w:rPr>
        <w:t>The</w:t>
      </w:r>
      <w:r w:rsidRPr="00202AE0">
        <w:rPr>
          <w:sz w:val="24"/>
          <w:szCs w:val="24"/>
        </w:rPr>
        <w:t xml:space="preserve"> </w:t>
      </w:r>
      <w:r>
        <w:rPr>
          <w:sz w:val="24"/>
          <w:szCs w:val="24"/>
        </w:rPr>
        <w:t>current</w:t>
      </w:r>
      <w:r w:rsidRPr="00202AE0">
        <w:rPr>
          <w:sz w:val="24"/>
          <w:szCs w:val="24"/>
        </w:rPr>
        <w:t xml:space="preserve"> parameters </w:t>
      </w:r>
      <w:r w:rsidRPr="00202AE0">
        <w:rPr>
          <w:i/>
          <w:iCs/>
          <w:sz w:val="24"/>
          <w:szCs w:val="24"/>
        </w:rPr>
        <w:t xml:space="preserve">cg-nrofPUSCH-InSlot </w:t>
      </w:r>
      <w:r w:rsidRPr="00202AE0">
        <w:rPr>
          <w:sz w:val="24"/>
          <w:szCs w:val="24"/>
        </w:rPr>
        <w:t xml:space="preserve">and </w:t>
      </w:r>
      <w:r w:rsidRPr="00202AE0">
        <w:rPr>
          <w:i/>
          <w:iCs/>
          <w:sz w:val="24"/>
          <w:szCs w:val="24"/>
        </w:rPr>
        <w:t xml:space="preserve">cg-nrofSlots </w:t>
      </w:r>
      <w:r w:rsidRPr="00202AE0">
        <w:rPr>
          <w:sz w:val="24"/>
          <w:szCs w:val="24"/>
        </w:rPr>
        <w:t xml:space="preserve">of the RRC parameter structure   </w:t>
      </w:r>
      <w:r w:rsidRPr="00202AE0">
        <w:rPr>
          <w:i/>
          <w:iCs/>
          <w:sz w:val="24"/>
          <w:szCs w:val="24"/>
        </w:rPr>
        <w:t>ConfiguredGrantConfig</w:t>
      </w:r>
      <w:r w:rsidRPr="00202AE0">
        <w:rPr>
          <w:sz w:val="24"/>
          <w:szCs w:val="24"/>
        </w:rPr>
        <w:t xml:space="preserve"> defined in </w:t>
      </w:r>
      <w:r w:rsidRPr="007D49F1">
        <w:rPr>
          <w:sz w:val="24"/>
          <w:szCs w:val="24"/>
        </w:rPr>
        <w:fldChar w:fldCharType="begin"/>
      </w:r>
      <w:r w:rsidRPr="007D49F1">
        <w:rPr>
          <w:sz w:val="24"/>
          <w:szCs w:val="24"/>
        </w:rPr>
        <w:instrText xml:space="preserve"> STYLEREF ZA </w:instrText>
      </w:r>
      <w:r w:rsidRPr="007D49F1">
        <w:rPr>
          <w:sz w:val="24"/>
          <w:szCs w:val="24"/>
        </w:rPr>
        <w:fldChar w:fldCharType="separate"/>
      </w:r>
      <w:r w:rsidRPr="007D49F1">
        <w:rPr>
          <w:sz w:val="24"/>
          <w:szCs w:val="24"/>
        </w:rPr>
        <w:t xml:space="preserve">3GPP TS 38.331 </w:t>
      </w:r>
      <w:r w:rsidRPr="007D49F1">
        <w:rPr>
          <w:sz w:val="24"/>
          <w:szCs w:val="24"/>
        </w:rPr>
        <w:fldChar w:fldCharType="end"/>
      </w:r>
      <w:r w:rsidRPr="00202AE0">
        <w:rPr>
          <w:sz w:val="24"/>
          <w:szCs w:val="24"/>
        </w:rPr>
        <w:t xml:space="preserve">could be </w:t>
      </w:r>
      <w:r>
        <w:rPr>
          <w:sz w:val="24"/>
          <w:szCs w:val="24"/>
        </w:rPr>
        <w:t>re-utilized</w:t>
      </w:r>
      <w:r w:rsidRPr="00202AE0">
        <w:rPr>
          <w:sz w:val="24"/>
          <w:szCs w:val="24"/>
        </w:rPr>
        <w:t xml:space="preserve"> to configure multiple PUSCH transmission occasions per CG period on licensed spectrum</w:t>
      </w:r>
      <w:r>
        <w:rPr>
          <w:sz w:val="24"/>
          <w:szCs w:val="24"/>
        </w:rPr>
        <w:t xml:space="preserve"> for XR,</w:t>
      </w:r>
      <w:r w:rsidRPr="00202AE0">
        <w:rPr>
          <w:sz w:val="24"/>
          <w:szCs w:val="24"/>
        </w:rPr>
        <w:t xml:space="preserve"> as </w:t>
      </w:r>
      <w:r>
        <w:rPr>
          <w:sz w:val="24"/>
          <w:szCs w:val="24"/>
        </w:rPr>
        <w:t>these parameters</w:t>
      </w:r>
      <w:r w:rsidRPr="00202AE0">
        <w:rPr>
          <w:sz w:val="24"/>
          <w:szCs w:val="24"/>
        </w:rPr>
        <w:t xml:space="preserve"> are currently </w:t>
      </w:r>
      <w:r>
        <w:rPr>
          <w:sz w:val="24"/>
          <w:szCs w:val="24"/>
        </w:rPr>
        <w:t xml:space="preserve">only </w:t>
      </w:r>
      <w:r w:rsidRPr="00202AE0">
        <w:rPr>
          <w:sz w:val="24"/>
          <w:szCs w:val="24"/>
        </w:rPr>
        <w:t xml:space="preserve">supported </w:t>
      </w:r>
      <w:r>
        <w:rPr>
          <w:sz w:val="24"/>
          <w:szCs w:val="24"/>
        </w:rPr>
        <w:t>for</w:t>
      </w:r>
      <w:r w:rsidRPr="00202AE0">
        <w:rPr>
          <w:sz w:val="24"/>
          <w:szCs w:val="24"/>
        </w:rPr>
        <w:t xml:space="preserve"> unlicensed spectrum operation when the RRC parameter </w:t>
      </w:r>
      <w:r w:rsidRPr="000C191B">
        <w:rPr>
          <w:i/>
          <w:iCs/>
          <w:sz w:val="24"/>
          <w:szCs w:val="24"/>
        </w:rPr>
        <w:t xml:space="preserve">cg-RetransmissionTimer </w:t>
      </w:r>
      <w:r w:rsidRPr="00202AE0">
        <w:rPr>
          <w:sz w:val="24"/>
          <w:szCs w:val="24"/>
        </w:rPr>
        <w:t>is configured</w:t>
      </w:r>
      <w:r>
        <w:rPr>
          <w:sz w:val="24"/>
          <w:szCs w:val="24"/>
        </w:rPr>
        <w:t xml:space="preserve">. </w:t>
      </w:r>
      <w:r w:rsidRPr="00202AE0">
        <w:rPr>
          <w:sz w:val="24"/>
          <w:szCs w:val="24"/>
        </w:rPr>
        <w:t xml:space="preserve">Hence, the current restriction that the network can only configure these fields if </w:t>
      </w:r>
      <w:r w:rsidRPr="00202AE0">
        <w:rPr>
          <w:i/>
          <w:iCs/>
          <w:sz w:val="24"/>
          <w:szCs w:val="24"/>
        </w:rPr>
        <w:t>cg-RetransmissionTimer</w:t>
      </w:r>
      <w:r w:rsidRPr="00202AE0">
        <w:rPr>
          <w:sz w:val="24"/>
          <w:szCs w:val="24"/>
        </w:rPr>
        <w:t xml:space="preserve"> is configured can be relaxed for the XR traffic.</w:t>
      </w:r>
    </w:p>
    <w:p w14:paraId="4CE5C127" w14:textId="77777777" w:rsidR="000F0ED3" w:rsidRPr="00646ED1" w:rsidRDefault="000F0ED3" w:rsidP="000F0ED3">
      <w:pPr>
        <w:jc w:val="both"/>
        <w:rPr>
          <w:color w:val="000000" w:themeColor="text1"/>
          <w:lang w:eastAsia="zh-CN"/>
        </w:rPr>
      </w:pPr>
      <w:r>
        <w:rPr>
          <w:sz w:val="24"/>
          <w:szCs w:val="24"/>
        </w:rPr>
        <w:t xml:space="preserve">As captured in TS 38.214 clause 6.1.2.3, </w:t>
      </w:r>
      <w:r>
        <w:rPr>
          <w:color w:val="000000" w:themeColor="text1"/>
          <w:sz w:val="24"/>
          <w:szCs w:val="24"/>
          <w:lang w:eastAsia="zh-CN"/>
        </w:rPr>
        <w:t>the</w:t>
      </w:r>
      <w:r w:rsidRPr="001A7652">
        <w:rPr>
          <w:color w:val="000000" w:themeColor="text1"/>
          <w:sz w:val="24"/>
          <w:szCs w:val="24"/>
          <w:lang w:eastAsia="zh-CN"/>
        </w:rPr>
        <w:t xml:space="preserve"> higher layer parameter </w:t>
      </w:r>
      <w:r w:rsidRPr="001A7652">
        <w:rPr>
          <w:i/>
          <w:color w:val="000000" w:themeColor="text1"/>
          <w:sz w:val="24"/>
          <w:szCs w:val="24"/>
          <w:lang w:eastAsia="zh-CN"/>
        </w:rPr>
        <w:t>cg-nrofSlots</w:t>
      </w:r>
      <w:r>
        <w:rPr>
          <w:i/>
          <w:color w:val="000000" w:themeColor="text1"/>
          <w:sz w:val="24"/>
          <w:szCs w:val="24"/>
          <w:lang w:eastAsia="zh-CN"/>
        </w:rPr>
        <w:t xml:space="preserve"> </w:t>
      </w:r>
      <w:r w:rsidRPr="005B4D2F">
        <w:rPr>
          <w:color w:val="000000" w:themeColor="text1"/>
          <w:sz w:val="24"/>
          <w:szCs w:val="24"/>
          <w:lang w:eastAsia="zh-CN"/>
        </w:rPr>
        <w:t xml:space="preserve">determines the number </w:t>
      </w:r>
      <w:r>
        <w:rPr>
          <w:color w:val="000000" w:themeColor="text1"/>
          <w:sz w:val="24"/>
          <w:szCs w:val="24"/>
          <w:lang w:eastAsia="zh-CN"/>
        </w:rPr>
        <w:t xml:space="preserve">of consecutive slots allocated within a given CG period. The </w:t>
      </w:r>
      <w:r w:rsidRPr="001A7652">
        <w:rPr>
          <w:i/>
          <w:color w:val="000000" w:themeColor="text1"/>
          <w:sz w:val="24"/>
          <w:szCs w:val="24"/>
          <w:lang w:eastAsia="zh-CN"/>
        </w:rPr>
        <w:t>cg-nrofPUSCH-InSlot</w:t>
      </w:r>
      <w:r w:rsidRPr="001A7652">
        <w:rPr>
          <w:color w:val="000000" w:themeColor="text1"/>
          <w:sz w:val="24"/>
          <w:szCs w:val="24"/>
          <w:lang w:eastAsia="zh-CN"/>
        </w:rPr>
        <w:t xml:space="preserve"> </w:t>
      </w:r>
      <w:r>
        <w:rPr>
          <w:color w:val="000000" w:themeColor="text1"/>
          <w:sz w:val="24"/>
          <w:szCs w:val="24"/>
          <w:lang w:eastAsia="zh-CN"/>
        </w:rPr>
        <w:t xml:space="preserve">parameter configures the number of consecutive PUSCH allocations within each slot. The first allocation follows the </w:t>
      </w:r>
      <w:r w:rsidRPr="001A7652">
        <w:rPr>
          <w:color w:val="000000" w:themeColor="text1"/>
          <w:sz w:val="24"/>
          <w:szCs w:val="24"/>
          <w:lang w:eastAsia="zh-CN"/>
        </w:rPr>
        <w:t xml:space="preserve">higher layer parameter </w:t>
      </w:r>
      <w:r w:rsidRPr="001A7652">
        <w:rPr>
          <w:i/>
          <w:color w:val="000000" w:themeColor="text1"/>
          <w:sz w:val="24"/>
          <w:szCs w:val="24"/>
          <w:lang w:eastAsia="zh-CN"/>
        </w:rPr>
        <w:t>timeDomainAllocation</w:t>
      </w:r>
      <w:r w:rsidRPr="005B4D2F">
        <w:rPr>
          <w:color w:val="000000" w:themeColor="text1"/>
          <w:sz w:val="24"/>
          <w:szCs w:val="24"/>
          <w:lang w:eastAsia="zh-CN"/>
        </w:rPr>
        <w:t xml:space="preserve"> </w:t>
      </w:r>
      <w:r w:rsidRPr="001A7652">
        <w:rPr>
          <w:color w:val="000000" w:themeColor="text1"/>
          <w:sz w:val="24"/>
          <w:szCs w:val="24"/>
          <w:lang w:eastAsia="zh-CN"/>
        </w:rPr>
        <w:t xml:space="preserve">for Type 1 PUSCH transmission or </w:t>
      </w:r>
      <w:r w:rsidRPr="001A7652">
        <w:rPr>
          <w:color w:val="000000" w:themeColor="text1"/>
          <w:sz w:val="24"/>
          <w:szCs w:val="24"/>
        </w:rPr>
        <w:t>the higher layer configuration according to [10, TS 38.321], and UL grant received on the DCI for Type 2 PUSCH transmissions</w:t>
      </w:r>
      <w:r>
        <w:rPr>
          <w:color w:val="000000" w:themeColor="text1"/>
          <w:sz w:val="24"/>
          <w:szCs w:val="24"/>
        </w:rPr>
        <w:t xml:space="preserve">. Subsequent allocations have the same </w:t>
      </w:r>
      <w:r>
        <w:rPr>
          <w:color w:val="000000" w:themeColor="text1"/>
          <w:sz w:val="24"/>
          <w:szCs w:val="24"/>
        </w:rPr>
        <w:lastRenderedPageBreak/>
        <w:t xml:space="preserve">length, PUSCH mapping type and are appended without gaps. </w:t>
      </w:r>
      <w:r w:rsidRPr="001A7652">
        <w:rPr>
          <w:color w:val="000000" w:themeColor="text1"/>
          <w:sz w:val="24"/>
          <w:szCs w:val="24"/>
          <w:lang w:eastAsia="zh-CN"/>
        </w:rPr>
        <w:t>The same combination of start symbol</w:t>
      </w:r>
      <w:r>
        <w:rPr>
          <w:color w:val="000000" w:themeColor="text1"/>
          <w:sz w:val="24"/>
          <w:szCs w:val="24"/>
          <w:lang w:eastAsia="zh-CN"/>
        </w:rPr>
        <w:t xml:space="preserve">, </w:t>
      </w:r>
      <w:r w:rsidRPr="001A7652">
        <w:rPr>
          <w:color w:val="000000" w:themeColor="text1"/>
          <w:sz w:val="24"/>
          <w:szCs w:val="24"/>
          <w:lang w:eastAsia="zh-CN"/>
        </w:rPr>
        <w:t>length and PUSCH mapping type repeats over the consecutively allocated slots.</w:t>
      </w:r>
    </w:p>
    <w:p w14:paraId="252FDB4C" w14:textId="77777777" w:rsidR="000F0ED3" w:rsidRDefault="000F0ED3" w:rsidP="000F0ED3">
      <w:pPr>
        <w:jc w:val="both"/>
        <w:rPr>
          <w:sz w:val="24"/>
          <w:szCs w:val="24"/>
        </w:rPr>
      </w:pPr>
      <w:r>
        <w:rPr>
          <w:sz w:val="24"/>
          <w:szCs w:val="24"/>
        </w:rPr>
        <w:t xml:space="preserve">The </w:t>
      </w:r>
      <w:r w:rsidRPr="005A3B77">
        <w:rPr>
          <w:sz w:val="24"/>
          <w:szCs w:val="24"/>
        </w:rPr>
        <w:t>R</w:t>
      </w:r>
      <w:r>
        <w:rPr>
          <w:sz w:val="24"/>
          <w:szCs w:val="24"/>
        </w:rPr>
        <w:t>el-</w:t>
      </w:r>
      <w:r w:rsidRPr="005A3B77">
        <w:rPr>
          <w:sz w:val="24"/>
          <w:szCs w:val="24"/>
        </w:rPr>
        <w:t>16 NR-U</w:t>
      </w:r>
      <w:r>
        <w:rPr>
          <w:sz w:val="24"/>
          <w:szCs w:val="24"/>
        </w:rPr>
        <w:t xml:space="preserve"> scheme described above can be extended to XR as is, but further improvements can be made to make it more suitable for the XR traffic. </w:t>
      </w:r>
    </w:p>
    <w:p w14:paraId="37FCBC31" w14:textId="77777777" w:rsidR="000F0ED3" w:rsidRPr="00EE036A" w:rsidRDefault="000F0ED3" w:rsidP="000F0ED3">
      <w:pPr>
        <w:jc w:val="both"/>
        <w:rPr>
          <w:sz w:val="24"/>
          <w:szCs w:val="24"/>
        </w:rPr>
      </w:pPr>
    </w:p>
    <w:p w14:paraId="75CC6583"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Rel-16 NR-U multiple CG PUSCH transmission occasions scheme can be extended to XR with some enhancements.</w:t>
      </w:r>
    </w:p>
    <w:p w14:paraId="3D5F37E5" w14:textId="77777777" w:rsidR="000F0ED3" w:rsidRDefault="000F0ED3" w:rsidP="000F0ED3">
      <w:pPr>
        <w:jc w:val="both"/>
        <w:rPr>
          <w:sz w:val="24"/>
          <w:szCs w:val="24"/>
        </w:rPr>
      </w:pPr>
      <w:r>
        <w:rPr>
          <w:sz w:val="24"/>
          <w:szCs w:val="24"/>
        </w:rPr>
        <w:t>The specified NR-U scheme relies on a retransmission timer (</w:t>
      </w:r>
      <w:r w:rsidRPr="00202AE0">
        <w:rPr>
          <w:i/>
          <w:iCs/>
          <w:sz w:val="24"/>
          <w:szCs w:val="24"/>
        </w:rPr>
        <w:t>cg-RetransmissionTimer</w:t>
      </w:r>
      <w:r>
        <w:rPr>
          <w:sz w:val="24"/>
          <w:szCs w:val="24"/>
        </w:rPr>
        <w:t xml:space="preserve">) for autonomous retransmissions. If the UE does not receive an acknowledgment for the previous CG retransmission after this timer expires, it considers the transmission to have been unsuccessful and automatically initiates another transmission. </w:t>
      </w:r>
    </w:p>
    <w:p w14:paraId="08F015D9" w14:textId="77777777" w:rsidR="000F0ED3" w:rsidRDefault="000F0ED3" w:rsidP="000F0ED3">
      <w:pPr>
        <w:jc w:val="both"/>
        <w:rPr>
          <w:sz w:val="24"/>
          <w:szCs w:val="24"/>
        </w:rPr>
      </w:pPr>
      <w:r>
        <w:rPr>
          <w:sz w:val="24"/>
          <w:szCs w:val="24"/>
        </w:rPr>
        <w:t xml:space="preserve">For XR and instead of the NR-U autonomous retransmission scheme (used mainly because the gNB can have difficulty acquiring a COT to send a DCI scheduling the retransmission), the </w:t>
      </w:r>
      <w:r w:rsidRPr="00336FBD">
        <w:rPr>
          <w:i/>
          <w:iCs/>
          <w:sz w:val="24"/>
          <w:szCs w:val="22"/>
          <w:lang w:eastAsia="sv-SE"/>
        </w:rPr>
        <w:t>configuredGrantTimer</w:t>
      </w:r>
      <w:r>
        <w:rPr>
          <w:sz w:val="24"/>
          <w:szCs w:val="24"/>
        </w:rPr>
        <w:t xml:space="preserve"> used with the CG legacy scheme could be applied for each HARQ process associated with each PUSCH occasion of the multiple CG PUSCH transmission occasions.  If the CG timer expires and the UE does not receive an UL DCI scheduling a retransmission then the UE can consider the corresponding HARQ transmission as successful and can consider the HARQ process released and could be used for another transmission. </w:t>
      </w:r>
    </w:p>
    <w:p w14:paraId="7D82EE82" w14:textId="77777777" w:rsidR="000F0ED3" w:rsidRPr="00BC370B" w:rsidRDefault="000F0ED3" w:rsidP="000F0ED3">
      <w:pPr>
        <w:jc w:val="both"/>
        <w:rPr>
          <w:sz w:val="24"/>
          <w:szCs w:val="24"/>
        </w:rPr>
      </w:pPr>
    </w:p>
    <w:p w14:paraId="2304F8C6"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legacy configuredGrantTimer can be used for each PUSCH occasion of the multiple CG PUSCH transmission occasions instead of the cg-RetransmissionTimer used in NR-U.</w:t>
      </w:r>
    </w:p>
    <w:p w14:paraId="10C88E09" w14:textId="77777777" w:rsidR="000F0ED3" w:rsidRDefault="000F0ED3" w:rsidP="000F0ED3">
      <w:pPr>
        <w:rPr>
          <w:sz w:val="24"/>
          <w:szCs w:val="24"/>
        </w:rPr>
      </w:pPr>
      <w:r w:rsidRPr="00140F65">
        <w:rPr>
          <w:sz w:val="24"/>
          <w:szCs w:val="24"/>
        </w:rPr>
        <w:t xml:space="preserve">In the legacy Configured Grant, the UE does not receive dynamic scheduling for PUSCH transmission. </w:t>
      </w:r>
      <w:r>
        <w:rPr>
          <w:sz w:val="24"/>
          <w:szCs w:val="24"/>
        </w:rPr>
        <w:t>Therefore, the</w:t>
      </w:r>
      <w:r w:rsidRPr="00140F65">
        <w:rPr>
          <w:sz w:val="24"/>
          <w:szCs w:val="24"/>
        </w:rPr>
        <w:t xml:space="preserve"> UE is required to derive the HARQ Process Number associated with each PUSCH transmission using the following formula specified in 38.321: </w:t>
      </w:r>
    </w:p>
    <w:p w14:paraId="78FDBB65" w14:textId="77777777" w:rsidR="000F0ED3" w:rsidRPr="008238E3" w:rsidRDefault="000F0ED3" w:rsidP="000F0ED3">
      <w:pPr>
        <w:pStyle w:val="para099"/>
        <w:jc w:val="center"/>
      </w:pPr>
      <w:r w:rsidRPr="008238E3">
        <w:t>HPI = [</w:t>
      </w:r>
      <w:proofErr w:type="gramStart"/>
      <w:r>
        <w:t>floor</w:t>
      </w:r>
      <w:r w:rsidRPr="008238E3">
        <w:t>(</w:t>
      </w:r>
      <w:proofErr w:type="gramEnd"/>
      <w:r>
        <w:t xml:space="preserve">CURRENT_symbol </w:t>
      </w:r>
      <w:r w:rsidRPr="008238E3">
        <w:t xml:space="preserve">/ periodicity)] </w:t>
      </w:r>
      <w:r>
        <w:t xml:space="preserve">modulo </w:t>
      </w:r>
      <w:r w:rsidRPr="008238E3">
        <w:t>nrofHARQ-Processes</w:t>
      </w:r>
    </w:p>
    <w:p w14:paraId="390B0083" w14:textId="77777777" w:rsidR="000F0ED3" w:rsidRPr="00140F65" w:rsidRDefault="000F0ED3" w:rsidP="000F0ED3">
      <w:pPr>
        <w:jc w:val="both"/>
        <w:rPr>
          <w:sz w:val="24"/>
          <w:szCs w:val="24"/>
        </w:rPr>
      </w:pPr>
      <w:r w:rsidRPr="00140F65">
        <w:rPr>
          <w:sz w:val="24"/>
          <w:szCs w:val="24"/>
        </w:rPr>
        <w:t>Where:</w:t>
      </w:r>
    </w:p>
    <w:p w14:paraId="761F6DF0" w14:textId="77777777" w:rsidR="000F0ED3" w:rsidRPr="00140F65" w:rsidRDefault="000F0ED3" w:rsidP="000F0ED3">
      <w:pPr>
        <w:jc w:val="both"/>
        <w:rPr>
          <w:sz w:val="24"/>
          <w:szCs w:val="24"/>
        </w:rPr>
      </w:pPr>
      <w:r w:rsidRPr="006C2B88">
        <w:rPr>
          <w:sz w:val="24"/>
          <w:szCs w:val="24"/>
        </w:rPr>
        <w:t xml:space="preserve">CURRENT_symbol </w:t>
      </w:r>
      <w:r w:rsidRPr="00140F65">
        <w:rPr>
          <w:sz w:val="24"/>
          <w:szCs w:val="24"/>
        </w:rPr>
        <w:t>= (SFN x SlotsPerFrame x SymbolsPerSlot) + (SlotNumber x SymbolsPerSlot) + SymbolNumber</w:t>
      </w:r>
    </w:p>
    <w:p w14:paraId="2EC993EA" w14:textId="77777777" w:rsidR="000F0ED3" w:rsidRDefault="000F0ED3" w:rsidP="000F0ED3">
      <w:pPr>
        <w:jc w:val="both"/>
        <w:rPr>
          <w:sz w:val="24"/>
          <w:szCs w:val="24"/>
        </w:rPr>
      </w:pPr>
      <w:r w:rsidRPr="00140F65">
        <w:rPr>
          <w:sz w:val="24"/>
          <w:szCs w:val="24"/>
        </w:rPr>
        <w:t xml:space="preserve">Where SymbolsPerSlot is 14 for normal CP and 12 for ECP. The SFN is the system Frame Number. SlotNumber is the slot number within which the PUSCH starts. The SymbolNumber is the symbol number at which the PUSCH starts. </w:t>
      </w:r>
    </w:p>
    <w:p w14:paraId="063C3813" w14:textId="77777777" w:rsidR="000F0ED3" w:rsidRDefault="000F0ED3" w:rsidP="000F0ED3">
      <w:pPr>
        <w:jc w:val="both"/>
        <w:rPr>
          <w:sz w:val="24"/>
          <w:szCs w:val="24"/>
        </w:rPr>
      </w:pPr>
      <w:r w:rsidRPr="00140F65">
        <w:rPr>
          <w:sz w:val="24"/>
          <w:szCs w:val="24"/>
        </w:rPr>
        <w:t xml:space="preserve">The </w:t>
      </w:r>
      <w:r>
        <w:rPr>
          <w:sz w:val="24"/>
          <w:szCs w:val="24"/>
        </w:rPr>
        <w:t>gNB</w:t>
      </w:r>
      <w:r w:rsidRPr="00140F65">
        <w:rPr>
          <w:sz w:val="24"/>
          <w:szCs w:val="24"/>
        </w:rPr>
        <w:t xml:space="preserve"> configures the UE with the number of HARQ processes and the periodicity. This is done using the </w:t>
      </w:r>
      <w:r w:rsidRPr="00140F65">
        <w:rPr>
          <w:i/>
          <w:iCs/>
          <w:sz w:val="24"/>
          <w:szCs w:val="24"/>
        </w:rPr>
        <w:t>ConfiguredGrantConfig</w:t>
      </w:r>
      <w:r w:rsidRPr="00140F65">
        <w:rPr>
          <w:sz w:val="24"/>
          <w:szCs w:val="24"/>
        </w:rPr>
        <w:t xml:space="preserve"> information. The </w:t>
      </w:r>
      <w:r>
        <w:rPr>
          <w:sz w:val="24"/>
          <w:szCs w:val="24"/>
        </w:rPr>
        <w:t>gNB</w:t>
      </w:r>
      <w:r w:rsidRPr="00140F65">
        <w:rPr>
          <w:sz w:val="24"/>
          <w:szCs w:val="24"/>
        </w:rPr>
        <w:t xml:space="preserve"> will also dynamically schedule the UE with the HARQ retransmissions for configured grants. In </w:t>
      </w:r>
      <w:r>
        <w:rPr>
          <w:sz w:val="24"/>
          <w:szCs w:val="24"/>
        </w:rPr>
        <w:t>that</w:t>
      </w:r>
      <w:r w:rsidRPr="00140F65">
        <w:rPr>
          <w:sz w:val="24"/>
          <w:szCs w:val="24"/>
        </w:rPr>
        <w:t xml:space="preserve"> case, the </w:t>
      </w:r>
      <w:r>
        <w:rPr>
          <w:sz w:val="24"/>
          <w:szCs w:val="24"/>
        </w:rPr>
        <w:t>gNB</w:t>
      </w:r>
      <w:r w:rsidRPr="00140F65">
        <w:rPr>
          <w:sz w:val="24"/>
          <w:szCs w:val="24"/>
        </w:rPr>
        <w:t xml:space="preserve"> </w:t>
      </w:r>
      <w:r>
        <w:rPr>
          <w:sz w:val="24"/>
          <w:szCs w:val="24"/>
        </w:rPr>
        <w:t>signals</w:t>
      </w:r>
      <w:r w:rsidRPr="00140F65">
        <w:rPr>
          <w:sz w:val="24"/>
          <w:szCs w:val="24"/>
        </w:rPr>
        <w:t xml:space="preserve"> the HARQ process number associated with the requested retransmission in the scheduling DCI. </w:t>
      </w:r>
    </w:p>
    <w:p w14:paraId="4F3FEFFE" w14:textId="77777777" w:rsidR="000F0ED3" w:rsidRDefault="000F0ED3" w:rsidP="000F0ED3">
      <w:pPr>
        <w:jc w:val="both"/>
        <w:rPr>
          <w:sz w:val="24"/>
          <w:szCs w:val="24"/>
        </w:rPr>
      </w:pPr>
      <w:r w:rsidRPr="00140F65">
        <w:rPr>
          <w:sz w:val="24"/>
          <w:szCs w:val="24"/>
        </w:rPr>
        <w:t xml:space="preserve">The existing formula has a limitation and cannot be applied as is for the case of multiple PUSCH occasions in the CG period as all PUSCH occasions in the same CG period will get the same HARQ Process Number. </w:t>
      </w:r>
    </w:p>
    <w:p w14:paraId="62E6BADD" w14:textId="77777777" w:rsidR="000F0ED3" w:rsidRDefault="000F0ED3" w:rsidP="000F0ED3">
      <w:pPr>
        <w:jc w:val="both"/>
        <w:rPr>
          <w:sz w:val="24"/>
          <w:szCs w:val="24"/>
        </w:rPr>
      </w:pPr>
      <w:r w:rsidRPr="00140F65">
        <w:rPr>
          <w:sz w:val="24"/>
          <w:szCs w:val="24"/>
        </w:rPr>
        <w:lastRenderedPageBreak/>
        <w:t>We propose below to adjust the legacy CG formula to take the multiple PUSCH occasions in the CG into consideration.</w:t>
      </w:r>
    </w:p>
    <w:p w14:paraId="489B9716" w14:textId="77777777" w:rsidR="000F0ED3" w:rsidRPr="00E77F8F" w:rsidRDefault="000F0ED3" w:rsidP="000F0ED3">
      <w:pPr>
        <w:jc w:val="center"/>
        <w:rPr>
          <w:rFonts w:eastAsia="Times New Roman"/>
          <w:sz w:val="24"/>
          <w:szCs w:val="24"/>
        </w:rPr>
      </w:pPr>
      <w:r>
        <w:rPr>
          <w:rFonts w:eastAsia="Times New Roman"/>
          <w:sz w:val="24"/>
          <w:szCs w:val="24"/>
        </w:rPr>
        <w:t>H</w:t>
      </w:r>
      <w:r w:rsidRPr="00E77F8F">
        <w:rPr>
          <w:rFonts w:eastAsia="Times New Roman"/>
          <w:sz w:val="24"/>
          <w:szCs w:val="24"/>
        </w:rPr>
        <w:t>PI = [N *</w:t>
      </w:r>
      <w:proofErr w:type="gramStart"/>
      <w:r w:rsidRPr="00E77F8F">
        <w:rPr>
          <w:rFonts w:eastAsia="Times New Roman"/>
          <w:sz w:val="24"/>
          <w:szCs w:val="24"/>
        </w:rPr>
        <w:t>floor( CURRENT</w:t>
      </w:r>
      <w:proofErr w:type="gramEnd"/>
      <w:r w:rsidRPr="00E77F8F">
        <w:rPr>
          <w:rFonts w:eastAsia="Times New Roman"/>
          <w:sz w:val="24"/>
          <w:szCs w:val="24"/>
        </w:rPr>
        <w:t>_symbol / periodicity)   + I ] modulo nrofHARQ-Processes</w:t>
      </w:r>
    </w:p>
    <w:p w14:paraId="140008ED" w14:textId="77777777" w:rsidR="000F0ED3" w:rsidRDefault="000F0ED3" w:rsidP="000F0ED3">
      <w:pPr>
        <w:jc w:val="both"/>
        <w:rPr>
          <w:sz w:val="24"/>
          <w:szCs w:val="24"/>
        </w:rPr>
      </w:pPr>
      <w:r w:rsidRPr="00E77F8F">
        <w:rPr>
          <w:sz w:val="24"/>
          <w:szCs w:val="24"/>
        </w:rPr>
        <w:t>where the N defines the number of PUSCH occasions in the CG period and I is the index of the PUSCH occasion in the CG period. The index I can be in the range from 0 to N.</w:t>
      </w:r>
    </w:p>
    <w:p w14:paraId="60632F15" w14:textId="77777777" w:rsidR="000F0ED3" w:rsidRDefault="000F0ED3" w:rsidP="000F0ED3">
      <w:pPr>
        <w:jc w:val="both"/>
        <w:rPr>
          <w:sz w:val="24"/>
          <w:szCs w:val="24"/>
        </w:rPr>
      </w:pPr>
    </w:p>
    <w:p w14:paraId="5812214D" w14:textId="77777777" w:rsidR="000F0ED3" w:rsidRPr="00140F65" w:rsidRDefault="000F0ED3" w:rsidP="000F0ED3">
      <w:pPr>
        <w:jc w:val="both"/>
        <w:rPr>
          <w:sz w:val="24"/>
          <w:szCs w:val="24"/>
        </w:rPr>
      </w:pPr>
      <w:r w:rsidRPr="00E77F8F">
        <w:rPr>
          <w:noProof/>
          <w:sz w:val="24"/>
          <w:szCs w:val="24"/>
        </w:rPr>
        <w:drawing>
          <wp:inline distT="0" distB="0" distL="0" distR="0" wp14:anchorId="785E003F" wp14:editId="493C77AF">
            <wp:extent cx="5943600" cy="28289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828925"/>
                    </a:xfrm>
                    <a:prstGeom prst="rect">
                      <a:avLst/>
                    </a:prstGeom>
                  </pic:spPr>
                </pic:pic>
              </a:graphicData>
            </a:graphic>
          </wp:inline>
        </w:drawing>
      </w:r>
    </w:p>
    <w:p w14:paraId="4A947DA9" w14:textId="77777777" w:rsidR="000F0ED3" w:rsidRPr="00BC370B" w:rsidRDefault="000F0ED3" w:rsidP="000F0ED3">
      <w:pPr>
        <w:jc w:val="both"/>
        <w:rPr>
          <w:sz w:val="24"/>
          <w:szCs w:val="24"/>
        </w:rPr>
      </w:pPr>
    </w:p>
    <w:p w14:paraId="3DA58B72"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Ajust the HARQ Process ID formula to take the multiple CG PUSCH occasions into consideration.</w:t>
      </w:r>
    </w:p>
    <w:p w14:paraId="12E36018" w14:textId="77777777" w:rsidR="000F0ED3" w:rsidRDefault="000F0ED3" w:rsidP="000F0ED3">
      <w:pPr>
        <w:jc w:val="both"/>
        <w:rPr>
          <w:sz w:val="24"/>
          <w:szCs w:val="24"/>
        </w:rPr>
      </w:pPr>
      <w:r>
        <w:rPr>
          <w:sz w:val="24"/>
          <w:szCs w:val="24"/>
        </w:rPr>
        <w:t>To optimize PDCCH monitoring for retransmissions and reduce the PDCCH signalling overhead and reduce the UE monitoring effort, the UE could be instructed to monitor PDCCH after the transmissions of all PUSCH occasions in the CG period.  A single DCI scheduling multiple PUSCH retransmissions could be used to schedule all failed retransmissions at once.</w:t>
      </w:r>
    </w:p>
    <w:p w14:paraId="37EA3DBB" w14:textId="77777777" w:rsidR="000F0ED3" w:rsidRPr="00BC370B" w:rsidRDefault="000F0ED3" w:rsidP="000F0ED3">
      <w:pPr>
        <w:jc w:val="both"/>
        <w:rPr>
          <w:sz w:val="24"/>
          <w:szCs w:val="24"/>
        </w:rPr>
      </w:pPr>
    </w:p>
    <w:p w14:paraId="304EED93"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Single DCI scheduling multiple PUSCH occasions retransmission should be used to reduce PDCCH signalling overhead and the UE monitoring effort.</w:t>
      </w:r>
    </w:p>
    <w:p w14:paraId="5EFCF48C" w14:textId="77777777" w:rsidR="000F0ED3" w:rsidRDefault="000F0ED3" w:rsidP="000F0ED3">
      <w:pPr>
        <w:jc w:val="both"/>
        <w:rPr>
          <w:sz w:val="24"/>
          <w:szCs w:val="24"/>
        </w:rPr>
      </w:pPr>
      <w:r>
        <w:rPr>
          <w:sz w:val="24"/>
          <w:szCs w:val="24"/>
        </w:rPr>
        <w:t xml:space="preserve">Alternatively, </w:t>
      </w:r>
      <w:r w:rsidRPr="006F19B6">
        <w:rPr>
          <w:sz w:val="24"/>
          <w:szCs w:val="24"/>
        </w:rPr>
        <w:t xml:space="preserve">DCI format 0_1 scrambled with CS-RNTI to carry a </w:t>
      </w:r>
      <w:r>
        <w:rPr>
          <w:sz w:val="24"/>
          <w:szCs w:val="24"/>
        </w:rPr>
        <w:t>HARQ-ACK bitmap</w:t>
      </w:r>
      <w:r w:rsidRPr="006F19B6">
        <w:rPr>
          <w:sz w:val="24"/>
          <w:szCs w:val="24"/>
        </w:rPr>
        <w:t xml:space="preserve"> for all HARQ processes transmitted</w:t>
      </w:r>
      <w:r>
        <w:rPr>
          <w:sz w:val="24"/>
          <w:szCs w:val="24"/>
        </w:rPr>
        <w:t xml:space="preserve"> in the CG period (and previous CG periods) could be used and the UE can send the retransmissions in the next CG periods subject to non-expired delay budget. Currently the DFI flag is one bit </w:t>
      </w:r>
      <w:r w:rsidRPr="00046B42">
        <w:rPr>
          <w:sz w:val="24"/>
          <w:szCs w:val="24"/>
        </w:rPr>
        <w:t>when </w:t>
      </w:r>
      <w:hyperlink r:id="rId9" w:anchor="cg_RetransmissionTimer" w:tgtFrame="_self" w:history="1">
        <w:r w:rsidRPr="00046B42">
          <w:rPr>
            <w:i/>
            <w:iCs/>
            <w:sz w:val="24"/>
            <w:szCs w:val="24"/>
          </w:rPr>
          <w:t>cg-Retransmission</w:t>
        </w:r>
      </w:hyperlink>
      <w:r w:rsidRPr="00046B42">
        <w:rPr>
          <w:i/>
          <w:iCs/>
          <w:sz w:val="24"/>
          <w:szCs w:val="24"/>
        </w:rPr>
        <w:t>Timer</w:t>
      </w:r>
      <w:r w:rsidRPr="00046B42">
        <w:rPr>
          <w:sz w:val="24"/>
          <w:szCs w:val="24"/>
        </w:rPr>
        <w:t xml:space="preserve"> is configured</w:t>
      </w:r>
      <w:r>
        <w:rPr>
          <w:sz w:val="24"/>
          <w:szCs w:val="24"/>
        </w:rPr>
        <w:t xml:space="preserve"> and it is set to ‘0’ when </w:t>
      </w:r>
      <w:r w:rsidRPr="00046B42">
        <w:rPr>
          <w:sz w:val="24"/>
          <w:szCs w:val="24"/>
        </w:rPr>
        <w:t>activating</w:t>
      </w:r>
      <w:r>
        <w:rPr>
          <w:sz w:val="24"/>
          <w:szCs w:val="24"/>
        </w:rPr>
        <w:t>/</w:t>
      </w:r>
      <w:r w:rsidRPr="00046B42">
        <w:rPr>
          <w:sz w:val="24"/>
          <w:szCs w:val="24"/>
        </w:rPr>
        <w:t xml:space="preserve">releasing type 2 CG transmission and </w:t>
      </w:r>
      <w:r>
        <w:rPr>
          <w:sz w:val="24"/>
          <w:szCs w:val="24"/>
        </w:rPr>
        <w:t xml:space="preserve">set to </w:t>
      </w:r>
      <w:r w:rsidRPr="00046B42">
        <w:rPr>
          <w:sz w:val="24"/>
          <w:szCs w:val="24"/>
        </w:rPr>
        <w:t>‘1’ to be used as CG-DFI</w:t>
      </w:r>
      <w:r>
        <w:rPr>
          <w:sz w:val="24"/>
          <w:szCs w:val="24"/>
        </w:rPr>
        <w:t xml:space="preserve">. The DFI flag should be re-utilized for the XR traffic even when </w:t>
      </w:r>
      <w:hyperlink r:id="rId10" w:anchor="cg_RetransmissionTimer" w:tgtFrame="_self" w:history="1">
        <w:r w:rsidRPr="00046B42">
          <w:rPr>
            <w:i/>
            <w:iCs/>
            <w:sz w:val="24"/>
            <w:szCs w:val="24"/>
          </w:rPr>
          <w:t>cg-Retransmission</w:t>
        </w:r>
      </w:hyperlink>
      <w:r w:rsidRPr="00046B42">
        <w:rPr>
          <w:i/>
          <w:iCs/>
          <w:sz w:val="24"/>
          <w:szCs w:val="24"/>
        </w:rPr>
        <w:t>Timer</w:t>
      </w:r>
      <w:r w:rsidRPr="00046B42">
        <w:rPr>
          <w:sz w:val="24"/>
          <w:szCs w:val="24"/>
        </w:rPr>
        <w:t xml:space="preserve"> is </w:t>
      </w:r>
      <w:r>
        <w:rPr>
          <w:sz w:val="24"/>
          <w:szCs w:val="24"/>
        </w:rPr>
        <w:t xml:space="preserve">not </w:t>
      </w:r>
      <w:r w:rsidRPr="00046B42">
        <w:rPr>
          <w:sz w:val="24"/>
          <w:szCs w:val="24"/>
        </w:rPr>
        <w:t>configured</w:t>
      </w:r>
      <w:r>
        <w:rPr>
          <w:sz w:val="24"/>
          <w:szCs w:val="24"/>
        </w:rPr>
        <w:t>. A new RRC parameter could be defined to activate the DFI flag for the XR traffic.</w:t>
      </w:r>
    </w:p>
    <w:p w14:paraId="293E7807" w14:textId="77777777" w:rsidR="000F0ED3" w:rsidRDefault="000F0ED3" w:rsidP="000F0ED3">
      <w:pPr>
        <w:jc w:val="both"/>
        <w:rPr>
          <w:sz w:val="24"/>
          <w:szCs w:val="24"/>
        </w:rPr>
      </w:pPr>
      <w:r>
        <w:rPr>
          <w:sz w:val="24"/>
          <w:szCs w:val="24"/>
        </w:rPr>
        <w:lastRenderedPageBreak/>
        <w:t>With the scheme described above, the DCI only reports the HARQ-ACK feedback for the CG-PUSCH occasions and the UE retransmits the failed transmissions using the allocated CG-PUSCH occasions eliminating the need for the dynamic scheduling of the retransmissions.</w:t>
      </w:r>
    </w:p>
    <w:p w14:paraId="5C8F5DDD" w14:textId="77777777" w:rsidR="000F0ED3" w:rsidRPr="00BC370B" w:rsidRDefault="000F0ED3" w:rsidP="000F0ED3">
      <w:pPr>
        <w:jc w:val="both"/>
        <w:rPr>
          <w:sz w:val="24"/>
          <w:szCs w:val="24"/>
        </w:rPr>
      </w:pPr>
    </w:p>
    <w:p w14:paraId="0310BF68"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DCI format 0_1 scrambled with CS-RNTI and with the DFI flag enabled and set to 1 can be used for the UL XR traffic to carry the HARQ-ACK bitmap for all HARQ processes transmitted in the CG periods.</w:t>
      </w:r>
    </w:p>
    <w:p w14:paraId="6B1D4B83" w14:textId="013920DF" w:rsidR="000F0ED3" w:rsidRDefault="000F0ED3" w:rsidP="00EE1915">
      <w:pPr>
        <w:jc w:val="both"/>
        <w:rPr>
          <w:sz w:val="24"/>
          <w:szCs w:val="24"/>
        </w:rPr>
      </w:pPr>
      <w:r w:rsidRPr="00C8048B">
        <w:rPr>
          <w:sz w:val="24"/>
          <w:szCs w:val="24"/>
        </w:rPr>
        <w:t>The UE can also piggy-back a CG-UCI on the CG-PUSCH occasions to signal the associated HARQ Process Identifier and also set the NDI to the pre-defined value to indicate a</w:t>
      </w:r>
      <w:r>
        <w:rPr>
          <w:sz w:val="24"/>
          <w:szCs w:val="24"/>
        </w:rPr>
        <w:t>n initial transmission or a</w:t>
      </w:r>
      <w:r w:rsidRPr="00C8048B">
        <w:rPr>
          <w:sz w:val="24"/>
          <w:szCs w:val="24"/>
        </w:rPr>
        <w:t xml:space="preserve"> retransmission. </w:t>
      </w:r>
    </w:p>
    <w:p w14:paraId="5DE6E390" w14:textId="77777777" w:rsidR="000F0ED3" w:rsidRDefault="000F0ED3" w:rsidP="000F0ED3">
      <w:pPr>
        <w:rPr>
          <w:sz w:val="24"/>
          <w:szCs w:val="24"/>
        </w:rPr>
      </w:pPr>
      <w:r>
        <w:rPr>
          <w:sz w:val="24"/>
          <w:szCs w:val="24"/>
        </w:rPr>
        <w:t>Due to the smaller delay budget for the last CG-PUSCH occasions in a CG period compared to the initial occasions, different configurations should be considered for the different CG-PUSCH occasions. For example, different DMRS configurations could be applied. The initial CG-PUSCH occasions could have no additional DMRS, while additional DMRS could be added to the last CG-PUSCH occasions to ensure better reliability given their smaller delay budget. Alternatively, the UE can have the flexibility to select the DMRS configuration suitable for each CG-PUSCH transmission and signal to the gNB the selected DMRS configuration in the CG-UCI. Obviously, this will come with a cost for the gNB as it needs to do the channel estimation with the front-loaded DMRS first then decode the CG-UCI and then refine the channel estimation if additional DMRS are used.</w:t>
      </w:r>
    </w:p>
    <w:p w14:paraId="7DB4F8A1" w14:textId="77777777" w:rsidR="000F0ED3" w:rsidRPr="00BC370B" w:rsidRDefault="000F0ED3" w:rsidP="000F0ED3">
      <w:pPr>
        <w:jc w:val="both"/>
        <w:rPr>
          <w:sz w:val="24"/>
          <w:szCs w:val="24"/>
        </w:rPr>
      </w:pPr>
    </w:p>
    <w:p w14:paraId="22B33938"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Different DMRS configurations should be allowed for the different CG-PUSCH occasions in the same CG period.</w:t>
      </w:r>
    </w:p>
    <w:p w14:paraId="50A6CF37" w14:textId="77777777" w:rsidR="000F0ED3" w:rsidRDefault="000F0ED3" w:rsidP="000F0ED3">
      <w:pPr>
        <w:rPr>
          <w:sz w:val="24"/>
          <w:szCs w:val="24"/>
        </w:rPr>
      </w:pPr>
      <w:r>
        <w:rPr>
          <w:sz w:val="24"/>
          <w:szCs w:val="24"/>
        </w:rPr>
        <w:t>In TDD mode and if</w:t>
      </w:r>
      <w:r w:rsidRPr="00BD2577">
        <w:rPr>
          <w:sz w:val="24"/>
          <w:szCs w:val="24"/>
        </w:rPr>
        <w:t xml:space="preserve"> the existing parameters </w:t>
      </w:r>
      <w:r w:rsidRPr="00BD2577">
        <w:rPr>
          <w:i/>
          <w:iCs/>
          <w:sz w:val="24"/>
          <w:szCs w:val="24"/>
        </w:rPr>
        <w:t xml:space="preserve">cg-nrofPUSCH-InSlot </w:t>
      </w:r>
      <w:r w:rsidRPr="00BD2577">
        <w:rPr>
          <w:sz w:val="24"/>
          <w:szCs w:val="24"/>
        </w:rPr>
        <w:t>and</w:t>
      </w:r>
      <w:r w:rsidRPr="00BD2577">
        <w:rPr>
          <w:i/>
          <w:iCs/>
          <w:sz w:val="24"/>
          <w:szCs w:val="24"/>
        </w:rPr>
        <w:t xml:space="preserve"> cg-nrofSlots </w:t>
      </w:r>
      <w:r w:rsidRPr="00BD2577">
        <w:rPr>
          <w:sz w:val="24"/>
          <w:szCs w:val="24"/>
        </w:rPr>
        <w:t xml:space="preserve">defined </w:t>
      </w:r>
      <w:r>
        <w:rPr>
          <w:sz w:val="24"/>
          <w:szCs w:val="24"/>
        </w:rPr>
        <w:t xml:space="preserve">for Rel-16 NR-U </w:t>
      </w:r>
      <w:r w:rsidRPr="00BD2577">
        <w:rPr>
          <w:sz w:val="24"/>
          <w:szCs w:val="24"/>
        </w:rPr>
        <w:t xml:space="preserve">are to be re-used to configure multiple PUSCH transmission occasions per CG period </w:t>
      </w:r>
      <w:r>
        <w:rPr>
          <w:sz w:val="24"/>
          <w:szCs w:val="24"/>
        </w:rPr>
        <w:t xml:space="preserve">for the XR traffic </w:t>
      </w:r>
      <w:r w:rsidRPr="00BD2577">
        <w:rPr>
          <w:sz w:val="24"/>
          <w:szCs w:val="24"/>
        </w:rPr>
        <w:t>on</w:t>
      </w:r>
      <w:r>
        <w:rPr>
          <w:sz w:val="24"/>
          <w:szCs w:val="24"/>
        </w:rPr>
        <w:t xml:space="preserve"> the</w:t>
      </w:r>
      <w:r w:rsidRPr="00BD2577">
        <w:rPr>
          <w:sz w:val="24"/>
          <w:szCs w:val="24"/>
        </w:rPr>
        <w:t xml:space="preserve"> licensed spectrum, then </w:t>
      </w:r>
      <w:r w:rsidRPr="00BD2577">
        <w:rPr>
          <w:i/>
          <w:iCs/>
          <w:sz w:val="24"/>
          <w:szCs w:val="24"/>
        </w:rPr>
        <w:t xml:space="preserve">cg-nrofSlots </w:t>
      </w:r>
      <w:r w:rsidRPr="00BD2577">
        <w:rPr>
          <w:sz w:val="24"/>
          <w:szCs w:val="24"/>
        </w:rPr>
        <w:t xml:space="preserve">could be specified to be counted only on UL slots and the counter is not incremented for DL slots. For example, if </w:t>
      </w:r>
      <w:r w:rsidRPr="00BD2577">
        <w:rPr>
          <w:i/>
          <w:iCs/>
          <w:sz w:val="24"/>
          <w:szCs w:val="24"/>
        </w:rPr>
        <w:t xml:space="preserve">cg-nrofSlots </w:t>
      </w:r>
      <w:r w:rsidRPr="00BD2577">
        <w:rPr>
          <w:sz w:val="24"/>
          <w:szCs w:val="24"/>
        </w:rPr>
        <w:t xml:space="preserve">is equal to 4 and the TDD pattern is DDDUU, then </w:t>
      </w:r>
      <w:r w:rsidRPr="00BD2577">
        <w:rPr>
          <w:i/>
          <w:iCs/>
          <w:sz w:val="24"/>
          <w:szCs w:val="24"/>
        </w:rPr>
        <w:t xml:space="preserve">cg-nrofSlots </w:t>
      </w:r>
      <w:r w:rsidRPr="00BD2577">
        <w:rPr>
          <w:sz w:val="24"/>
          <w:szCs w:val="24"/>
        </w:rPr>
        <w:t>is counted over two successive TDD patterns.</w:t>
      </w:r>
      <w:r>
        <w:rPr>
          <w:sz w:val="24"/>
          <w:szCs w:val="24"/>
        </w:rPr>
        <w:t xml:space="preserve"> </w:t>
      </w:r>
    </w:p>
    <w:p w14:paraId="2A6861D3" w14:textId="77777777" w:rsidR="000F0ED3" w:rsidRPr="00BC370B" w:rsidRDefault="000F0ED3" w:rsidP="000F0ED3">
      <w:pPr>
        <w:jc w:val="both"/>
        <w:rPr>
          <w:sz w:val="24"/>
          <w:szCs w:val="24"/>
        </w:rPr>
      </w:pPr>
    </w:p>
    <w:p w14:paraId="017DA443" w14:textId="77777777" w:rsidR="000F0ED3" w:rsidRPr="00BC370B" w:rsidRDefault="000F0ED3" w:rsidP="000F0ED3">
      <w:pPr>
        <w:pStyle w:val="ListParagraph"/>
        <w:numPr>
          <w:ilvl w:val="0"/>
          <w:numId w:val="17"/>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The design of multiple CG-PUSCH transmission occasions should take into considertation the operation in TDD. </w:t>
      </w:r>
    </w:p>
    <w:p w14:paraId="1C44EFF4" w14:textId="77777777" w:rsidR="000F0ED3" w:rsidRPr="00BD2577" w:rsidRDefault="000F0ED3" w:rsidP="000F0ED3">
      <w:pPr>
        <w:rPr>
          <w:sz w:val="24"/>
          <w:szCs w:val="24"/>
        </w:rPr>
      </w:pPr>
    </w:p>
    <w:p w14:paraId="1BB633E4" w14:textId="77777777" w:rsidR="000F0ED3" w:rsidRPr="005A3B77" w:rsidRDefault="000F0ED3" w:rsidP="00692C2F">
      <w:pPr>
        <w:pStyle w:val="Heading1"/>
        <w:numPr>
          <w:ilvl w:val="0"/>
          <w:numId w:val="26"/>
        </w:numPr>
        <w:jc w:val="both"/>
      </w:pPr>
      <w:r w:rsidRPr="005A3B77">
        <w:t>Dynamic indication of unused CG PUSCH occasion(s)</w:t>
      </w:r>
    </w:p>
    <w:p w14:paraId="37F179E9" w14:textId="77777777" w:rsidR="000F0ED3" w:rsidRDefault="000F0ED3" w:rsidP="000F0ED3">
      <w:pPr>
        <w:rPr>
          <w:sz w:val="24"/>
          <w:szCs w:val="24"/>
        </w:rPr>
      </w:pPr>
    </w:p>
    <w:p w14:paraId="45DEAF71" w14:textId="77777777" w:rsidR="000F0ED3" w:rsidRDefault="000F0ED3" w:rsidP="000F0ED3">
      <w:pPr>
        <w:rPr>
          <w:sz w:val="24"/>
          <w:szCs w:val="24"/>
        </w:rPr>
      </w:pPr>
      <w:r>
        <w:rPr>
          <w:sz w:val="24"/>
          <w:szCs w:val="24"/>
        </w:rPr>
        <w:t xml:space="preserve">Providing assistance information to the gNB is always useful. gNB doesn’t have much awareness about the UL AR traffic and further information from the UE about the need to cancel unused CG-PUSCH occasions can help optimize the gNB scheduling. When UL AR </w:t>
      </w:r>
      <w:r>
        <w:rPr>
          <w:sz w:val="24"/>
          <w:szCs w:val="24"/>
        </w:rPr>
        <w:lastRenderedPageBreak/>
        <w:t xml:space="preserve">packets arrive at the UE modem, the UE can determine the number of the CG-PUSCH occasions required to transmit the packets and can signal this information to the gNB. This allows the network to free some CG-PUSCH occasions and recycle them to schedule other UEs which results in better system capacity and spectral efficiency. </w:t>
      </w:r>
    </w:p>
    <w:p w14:paraId="0AFD6D0D" w14:textId="77777777" w:rsidR="000F0ED3" w:rsidRDefault="000F0ED3" w:rsidP="000F0ED3">
      <w:pPr>
        <w:rPr>
          <w:sz w:val="24"/>
          <w:szCs w:val="24"/>
        </w:rPr>
      </w:pPr>
    </w:p>
    <w:p w14:paraId="374D4DE3" w14:textId="77777777" w:rsidR="000F0ED3" w:rsidRDefault="000F0ED3" w:rsidP="000F0ED3">
      <w:pPr>
        <w:rPr>
          <w:sz w:val="24"/>
          <w:szCs w:val="24"/>
        </w:rPr>
      </w:pPr>
      <w:r>
        <w:rPr>
          <w:sz w:val="24"/>
          <w:szCs w:val="24"/>
        </w:rPr>
        <w:t xml:space="preserve">This will help mitigate the limitation of using multiple CG-PUSCH transmission occasions in the CG period for the UL AR traffic. In fact, the resources semi-statically allocated for the UL AR data transmission may become over-allocated for some UL AR frames since the gNB does not receive an accurate BSR in time. This can decrease the overall capacity of the system. To mitigate this limitation, it was agreed in the SI that the UE should be able to dynamically inform the gNB via UCI </w:t>
      </w:r>
      <w:r w:rsidRPr="009D6D8B">
        <w:rPr>
          <w:sz w:val="24"/>
          <w:szCs w:val="24"/>
        </w:rPr>
        <w:t xml:space="preserve">(e.g., CG-UCI or a new UCI) </w:t>
      </w:r>
      <w:r>
        <w:rPr>
          <w:sz w:val="24"/>
          <w:szCs w:val="24"/>
        </w:rPr>
        <w:t>of any unused PUSCH occasions and the gNB can reallocate the freed resources to other UE transmissions which is expected to increase the system capacity.</w:t>
      </w:r>
    </w:p>
    <w:p w14:paraId="2BB1BFDA" w14:textId="77777777" w:rsidR="000F0ED3" w:rsidRDefault="000F0ED3" w:rsidP="000F0ED3">
      <w:pPr>
        <w:rPr>
          <w:sz w:val="24"/>
          <w:szCs w:val="24"/>
        </w:rPr>
      </w:pPr>
      <w:r>
        <w:rPr>
          <w:sz w:val="24"/>
          <w:szCs w:val="24"/>
        </w:rPr>
        <w:t xml:space="preserve">The Rel-16 NR-U CG-UCI or another dedicated UCI could be used to dynamically indicted the unused PUSCH occasions. A new field could be introduced in the CG-UCI to indicate the PUSCH occasions that the UE is not planning to use.  </w:t>
      </w:r>
    </w:p>
    <w:p w14:paraId="5D19E57C" w14:textId="77777777" w:rsidR="000F0ED3" w:rsidRPr="00EE036A" w:rsidRDefault="000F0ED3" w:rsidP="000F0ED3">
      <w:pPr>
        <w:jc w:val="both"/>
        <w:rPr>
          <w:sz w:val="24"/>
          <w:szCs w:val="24"/>
        </w:rPr>
      </w:pPr>
    </w:p>
    <w:p w14:paraId="4585B757" w14:textId="77777777" w:rsidR="000F0ED3" w:rsidRPr="00BC370B" w:rsidRDefault="000F0ED3" w:rsidP="000F0ED3">
      <w:pPr>
        <w:pStyle w:val="ListParagraph"/>
        <w:numPr>
          <w:ilvl w:val="0"/>
          <w:numId w:val="19"/>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Introduce a new bit-field in the CG-UCI to allow the UE to signal to the gNB which CG-PUSCH occasions it will not be using.  </w:t>
      </w:r>
    </w:p>
    <w:p w14:paraId="35D750A9" w14:textId="77777777" w:rsidR="000F0ED3" w:rsidRDefault="000F0ED3" w:rsidP="000F0ED3">
      <w:pPr>
        <w:rPr>
          <w:sz w:val="24"/>
          <w:szCs w:val="24"/>
        </w:rPr>
      </w:pPr>
      <w:r>
        <w:rPr>
          <w:sz w:val="24"/>
          <w:szCs w:val="24"/>
        </w:rPr>
        <w:t xml:space="preserve">We propose using a bitmap as the new bit-field in the CG-UCI. This bitmap would have a size in bits equal to the number of PUSCH occasions configured in the CG period. </w:t>
      </w:r>
    </w:p>
    <w:p w14:paraId="203E24E2" w14:textId="77777777" w:rsidR="000F0ED3" w:rsidRDefault="000F0ED3" w:rsidP="000F0ED3">
      <w:pPr>
        <w:rPr>
          <w:sz w:val="24"/>
          <w:szCs w:val="24"/>
        </w:rPr>
      </w:pPr>
      <w:r w:rsidRPr="00D33675">
        <w:rPr>
          <w:noProof/>
          <w:sz w:val="24"/>
          <w:szCs w:val="24"/>
        </w:rPr>
        <w:drawing>
          <wp:inline distT="0" distB="0" distL="0" distR="0" wp14:anchorId="2FC845B9" wp14:editId="3127992F">
            <wp:extent cx="5943600" cy="18008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800860"/>
                    </a:xfrm>
                    <a:prstGeom prst="rect">
                      <a:avLst/>
                    </a:prstGeom>
                  </pic:spPr>
                </pic:pic>
              </a:graphicData>
            </a:graphic>
          </wp:inline>
        </w:drawing>
      </w:r>
    </w:p>
    <w:p w14:paraId="0B19C281" w14:textId="77777777" w:rsidR="000F0ED3" w:rsidRDefault="000F0ED3" w:rsidP="000F0ED3">
      <w:pPr>
        <w:rPr>
          <w:sz w:val="24"/>
          <w:szCs w:val="24"/>
        </w:rPr>
      </w:pPr>
      <w:r>
        <w:rPr>
          <w:sz w:val="24"/>
          <w:szCs w:val="24"/>
        </w:rPr>
        <w:t xml:space="preserve">Each bit in the bit-map would indicate whether the corresponding CG-PUSCH occasion is going to be used or cancelled. And to ensure efficient signalling and allow enough time for the gNB to recycle the cancelled PUSCH occasions, this CG-UCI carrying the bitmap could be sent at the first transmitted CG-PUSCH occasion in the CG period. </w:t>
      </w:r>
    </w:p>
    <w:p w14:paraId="76477E84" w14:textId="77777777" w:rsidR="000F0ED3" w:rsidRDefault="000F0ED3" w:rsidP="000F0ED3">
      <w:pPr>
        <w:rPr>
          <w:sz w:val="24"/>
          <w:szCs w:val="24"/>
        </w:rPr>
      </w:pPr>
      <w:r>
        <w:rPr>
          <w:sz w:val="24"/>
          <w:szCs w:val="24"/>
        </w:rPr>
        <w:t>However, the scheme above comes with extra signalling overhead as the UE needs to signal the indication for all the CG-PUSCH occasions even those maintained.</w:t>
      </w:r>
    </w:p>
    <w:p w14:paraId="2FCD7BE0" w14:textId="77777777" w:rsidR="000F0ED3" w:rsidRDefault="000F0ED3" w:rsidP="000F0ED3">
      <w:pPr>
        <w:rPr>
          <w:sz w:val="24"/>
          <w:szCs w:val="24"/>
        </w:rPr>
      </w:pPr>
      <w:r>
        <w:rPr>
          <w:sz w:val="24"/>
          <w:szCs w:val="24"/>
        </w:rPr>
        <w:t xml:space="preserve">To minimize the signalling overhead, another alternative is to send the cancellation information on the last CG-PUSCH occasion to be used by the UE in that particular CG period. This would require only one bit for the indication and would cancel all remaining PUSCH occasions in the CG cycle. </w:t>
      </w:r>
    </w:p>
    <w:p w14:paraId="791605D5" w14:textId="77777777" w:rsidR="000F0ED3" w:rsidRDefault="000F0ED3" w:rsidP="000F0ED3">
      <w:pPr>
        <w:rPr>
          <w:sz w:val="24"/>
          <w:szCs w:val="24"/>
        </w:rPr>
      </w:pPr>
      <w:r w:rsidRPr="007327C1">
        <w:rPr>
          <w:noProof/>
          <w:sz w:val="24"/>
          <w:szCs w:val="24"/>
        </w:rPr>
        <w:lastRenderedPageBreak/>
        <w:drawing>
          <wp:inline distT="0" distB="0" distL="0" distR="0" wp14:anchorId="572C64C8" wp14:editId="5D233C26">
            <wp:extent cx="5943600" cy="19392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939290"/>
                    </a:xfrm>
                    <a:prstGeom prst="rect">
                      <a:avLst/>
                    </a:prstGeom>
                  </pic:spPr>
                </pic:pic>
              </a:graphicData>
            </a:graphic>
          </wp:inline>
        </w:drawing>
      </w:r>
    </w:p>
    <w:p w14:paraId="5CEAA4D4" w14:textId="77777777" w:rsidR="000F0ED3" w:rsidRDefault="000F0ED3" w:rsidP="000F0ED3">
      <w:pPr>
        <w:rPr>
          <w:sz w:val="24"/>
          <w:szCs w:val="24"/>
        </w:rPr>
      </w:pPr>
      <w:r>
        <w:rPr>
          <w:sz w:val="24"/>
          <w:szCs w:val="24"/>
        </w:rPr>
        <w:t xml:space="preserve">However, it should be noted that this approach reduces the time available for the gNB to recycle the PUSCH occasions and schedule other UEs which could impact the overall system capacity. </w:t>
      </w:r>
    </w:p>
    <w:p w14:paraId="30C23AF3" w14:textId="77777777" w:rsidR="000F0ED3" w:rsidRPr="00EE036A" w:rsidRDefault="000F0ED3" w:rsidP="000F0ED3">
      <w:pPr>
        <w:jc w:val="both"/>
        <w:rPr>
          <w:sz w:val="24"/>
          <w:szCs w:val="24"/>
        </w:rPr>
      </w:pPr>
    </w:p>
    <w:p w14:paraId="265C3F44" w14:textId="77777777" w:rsidR="000F0ED3" w:rsidRPr="00BC370B" w:rsidRDefault="000F0ED3" w:rsidP="000F0ED3">
      <w:pPr>
        <w:pStyle w:val="ListParagraph"/>
        <w:numPr>
          <w:ilvl w:val="0"/>
          <w:numId w:val="19"/>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To improve system efficiency by cancelling unused CG-PUSCH occasions: </w:t>
      </w:r>
    </w:p>
    <w:p w14:paraId="3BF3D604" w14:textId="77777777" w:rsidR="000F0ED3" w:rsidRPr="00BC370B" w:rsidRDefault="000F0ED3" w:rsidP="000F0ED3">
      <w:pPr>
        <w:pStyle w:val="ListParagraph"/>
        <w:numPr>
          <w:ilvl w:val="0"/>
          <w:numId w:val="20"/>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Option 1: Use a bitmap in the signalled UCI on the first CG-PUSCH occasion in the CG period to indicate which CG-PUSCH occasions are to be used and which ones are to be cncelled</w:t>
      </w:r>
    </w:p>
    <w:p w14:paraId="146627C7" w14:textId="77777777" w:rsidR="000F0ED3" w:rsidRPr="00BC370B" w:rsidRDefault="000F0ED3" w:rsidP="000F0ED3">
      <w:pPr>
        <w:pStyle w:val="ListParagraph"/>
        <w:numPr>
          <w:ilvl w:val="0"/>
          <w:numId w:val="20"/>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Option 2: Send a single indication on the last CG-PUSCH occasion to be used in the CG period which would cancel all remaining CG-PUSCH occasions.</w:t>
      </w:r>
    </w:p>
    <w:p w14:paraId="2E10CC58" w14:textId="77777777" w:rsidR="000F0ED3" w:rsidRPr="001921EC" w:rsidRDefault="000F0ED3" w:rsidP="000F0ED3">
      <w:pPr>
        <w:rPr>
          <w:sz w:val="24"/>
          <w:szCs w:val="24"/>
        </w:rPr>
      </w:pPr>
      <w:r w:rsidRPr="001921EC">
        <w:rPr>
          <w:sz w:val="24"/>
          <w:szCs w:val="24"/>
        </w:rPr>
        <w:t>Further studies are needed to evaluate the trade-offs in the two options in the proposal above and select the optimal solution.</w:t>
      </w:r>
    </w:p>
    <w:p w14:paraId="29163658" w14:textId="77777777" w:rsidR="00692C2F" w:rsidRPr="00BD2577" w:rsidRDefault="00692C2F" w:rsidP="00692C2F">
      <w:pPr>
        <w:rPr>
          <w:sz w:val="24"/>
          <w:szCs w:val="24"/>
        </w:rPr>
      </w:pPr>
    </w:p>
    <w:p w14:paraId="542FA183" w14:textId="725D36C1" w:rsidR="00692C2F" w:rsidRPr="005A3B77" w:rsidRDefault="00DD5827" w:rsidP="00DD5827">
      <w:pPr>
        <w:pStyle w:val="Heading1"/>
        <w:numPr>
          <w:ilvl w:val="0"/>
          <w:numId w:val="29"/>
        </w:numPr>
        <w:jc w:val="both"/>
      </w:pPr>
      <w:r>
        <w:t>BSR Enhancement</w:t>
      </w:r>
    </w:p>
    <w:p w14:paraId="557C17A5" w14:textId="0F8A8FB6" w:rsidR="000F0ED3" w:rsidRDefault="005C02B9" w:rsidP="000F0ED3">
      <w:pPr>
        <w:overflowPunct w:val="0"/>
        <w:autoSpaceDE w:val="0"/>
        <w:autoSpaceDN w:val="0"/>
        <w:jc w:val="both"/>
        <w:rPr>
          <w:sz w:val="24"/>
          <w:szCs w:val="24"/>
        </w:rPr>
      </w:pPr>
      <w:r>
        <w:rPr>
          <w:sz w:val="24"/>
          <w:szCs w:val="24"/>
        </w:rPr>
        <w:t xml:space="preserve">The </w:t>
      </w:r>
      <w:r w:rsidR="004B7406">
        <w:rPr>
          <w:sz w:val="24"/>
          <w:szCs w:val="24"/>
        </w:rPr>
        <w:t xml:space="preserve">existing </w:t>
      </w:r>
      <w:r>
        <w:rPr>
          <w:sz w:val="24"/>
          <w:szCs w:val="24"/>
        </w:rPr>
        <w:t>BSR look-up</w:t>
      </w:r>
      <w:r w:rsidR="004B7406">
        <w:rPr>
          <w:sz w:val="24"/>
          <w:szCs w:val="24"/>
        </w:rPr>
        <w:t xml:space="preserve"> tables have smaller step sizes for smaller indices and larger step sizes for larger indices resulting in a coarser granularity at the upper end. </w:t>
      </w:r>
      <w:r w:rsidR="00145761">
        <w:rPr>
          <w:sz w:val="24"/>
          <w:szCs w:val="24"/>
        </w:rPr>
        <w:t xml:space="preserve">This is problematic for the XR traffic which typically has large packet sizes as resource allocation </w:t>
      </w:r>
      <w:r w:rsidR="005D2384">
        <w:rPr>
          <w:sz w:val="24"/>
          <w:szCs w:val="24"/>
        </w:rPr>
        <w:t>becomes</w:t>
      </w:r>
      <w:r w:rsidR="00145761">
        <w:rPr>
          <w:sz w:val="24"/>
          <w:szCs w:val="24"/>
        </w:rPr>
        <w:t xml:space="preserve"> sub-optimal </w:t>
      </w:r>
      <w:r w:rsidR="005D2384">
        <w:rPr>
          <w:sz w:val="24"/>
          <w:szCs w:val="24"/>
        </w:rPr>
        <w:t xml:space="preserve">due to quantization errors that increase with larger indices. Resource over-allocation requires the use of padding bits to utilize all allocated resources, causing resource inefficiency and lowering system capacity while increasing UL interference. To mitigate this issue, RAN2 agreed to </w:t>
      </w:r>
      <w:r w:rsidR="00183242">
        <w:rPr>
          <w:sz w:val="24"/>
          <w:szCs w:val="24"/>
        </w:rPr>
        <w:t xml:space="preserve">introduce BSR enhancement which includes at least </w:t>
      </w:r>
      <w:r w:rsidR="005D2384">
        <w:rPr>
          <w:sz w:val="24"/>
          <w:szCs w:val="24"/>
        </w:rPr>
        <w:t>defin</w:t>
      </w:r>
      <w:r w:rsidR="00183242">
        <w:rPr>
          <w:sz w:val="24"/>
          <w:szCs w:val="24"/>
        </w:rPr>
        <w:t>ing</w:t>
      </w:r>
      <w:r w:rsidR="005D2384">
        <w:rPr>
          <w:sz w:val="24"/>
          <w:szCs w:val="24"/>
        </w:rPr>
        <w:t xml:space="preserve"> new BSR tables with finer granularity for large BS values. </w:t>
      </w:r>
    </w:p>
    <w:p w14:paraId="51B7E121" w14:textId="164488AE" w:rsidR="00E14937" w:rsidRDefault="00E14937" w:rsidP="000F0ED3">
      <w:pPr>
        <w:overflowPunct w:val="0"/>
        <w:autoSpaceDE w:val="0"/>
        <w:autoSpaceDN w:val="0"/>
        <w:jc w:val="both"/>
        <w:rPr>
          <w:sz w:val="24"/>
          <w:szCs w:val="24"/>
        </w:rPr>
      </w:pPr>
    </w:p>
    <w:p w14:paraId="5E3C3EF2" w14:textId="3E9139CF" w:rsidR="00E14937" w:rsidRDefault="00E14937" w:rsidP="000F0ED3">
      <w:pPr>
        <w:overflowPunct w:val="0"/>
        <w:autoSpaceDE w:val="0"/>
        <w:autoSpaceDN w:val="0"/>
        <w:jc w:val="both"/>
        <w:rPr>
          <w:sz w:val="24"/>
          <w:szCs w:val="24"/>
        </w:rPr>
      </w:pPr>
      <w:r>
        <w:rPr>
          <w:sz w:val="24"/>
          <w:szCs w:val="24"/>
        </w:rPr>
        <w:t xml:space="preserve">A new BSR table can be defined and configured to the UE in the event of UL AR traffic transmission. The selection of the BSR table can be determined by a </w:t>
      </w:r>
      <w:r w:rsidRPr="00690016">
        <w:rPr>
          <w:sz w:val="24"/>
          <w:szCs w:val="24"/>
        </w:rPr>
        <w:t xml:space="preserve">Buffer size threshold </w:t>
      </w:r>
      <m:oMath>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T</m:t>
            </m:r>
          </m:sub>
        </m:sSub>
      </m:oMath>
      <w:r w:rsidRPr="00690016">
        <w:rPr>
          <w:sz w:val="24"/>
          <w:szCs w:val="24"/>
        </w:rPr>
        <w:t>.</w:t>
      </w:r>
      <w:r w:rsidR="00BC370B">
        <w:rPr>
          <w:sz w:val="24"/>
          <w:szCs w:val="24"/>
        </w:rPr>
        <w:t xml:space="preserve"> The UE can compare the buffer size to be reported to </w:t>
      </w:r>
      <m:oMath>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T</m:t>
            </m:r>
          </m:sub>
        </m:sSub>
      </m:oMath>
      <w:r w:rsidR="00BC370B" w:rsidRPr="00690016">
        <w:rPr>
          <w:sz w:val="24"/>
          <w:szCs w:val="24"/>
        </w:rPr>
        <w:t>,</w:t>
      </w:r>
      <w:r w:rsidR="00BC370B">
        <w:rPr>
          <w:sz w:val="24"/>
          <w:szCs w:val="24"/>
        </w:rPr>
        <w:t xml:space="preserve"> and if it is smaller than the threshold, the legacy BSR table is selected for generating the BSR report. If the buffer size exceeds </w:t>
      </w:r>
      <m:oMath>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T</m:t>
            </m:r>
          </m:sub>
        </m:sSub>
      </m:oMath>
      <w:r w:rsidR="00BC370B" w:rsidRPr="00690016">
        <w:rPr>
          <w:sz w:val="24"/>
          <w:szCs w:val="24"/>
        </w:rPr>
        <w:t>,</w:t>
      </w:r>
      <w:r w:rsidR="00BC370B">
        <w:rPr>
          <w:sz w:val="24"/>
          <w:szCs w:val="24"/>
        </w:rPr>
        <w:t xml:space="preserve"> the new BSR table is used. </w:t>
      </w:r>
    </w:p>
    <w:p w14:paraId="64639D41" w14:textId="28A55B7A" w:rsidR="00BC370B" w:rsidRDefault="00BC370B" w:rsidP="000F0ED3">
      <w:pPr>
        <w:overflowPunct w:val="0"/>
        <w:autoSpaceDE w:val="0"/>
        <w:autoSpaceDN w:val="0"/>
        <w:jc w:val="both"/>
        <w:rPr>
          <w:sz w:val="24"/>
          <w:szCs w:val="24"/>
        </w:rPr>
      </w:pPr>
      <w:r>
        <w:rPr>
          <w:sz w:val="24"/>
          <w:szCs w:val="24"/>
        </w:rPr>
        <w:lastRenderedPageBreak/>
        <w:t>As an example, for AR video traffic with a data rate of 45Mbps and a frame rate of 60 fps, the minimum packet size in the AR flow based on the RAN1 distribution</w:t>
      </w:r>
      <w:r w:rsidR="00EE1915">
        <w:rPr>
          <w:sz w:val="24"/>
          <w:szCs w:val="24"/>
        </w:rPr>
        <w:t xml:space="preserve"> in </w:t>
      </w:r>
      <w:r w:rsidR="00EE1915">
        <w:rPr>
          <w:sz w:val="24"/>
          <w:szCs w:val="24"/>
        </w:rPr>
        <w:fldChar w:fldCharType="begin"/>
      </w:r>
      <w:r w:rsidR="00EE1915">
        <w:rPr>
          <w:sz w:val="24"/>
          <w:szCs w:val="24"/>
        </w:rPr>
        <w:instrText xml:space="preserve"> REF _Ref126595492 \r \h </w:instrText>
      </w:r>
      <w:r w:rsidR="00EE1915">
        <w:rPr>
          <w:sz w:val="24"/>
          <w:szCs w:val="24"/>
        </w:rPr>
      </w:r>
      <w:r w:rsidR="00EE1915">
        <w:rPr>
          <w:sz w:val="24"/>
          <w:szCs w:val="24"/>
        </w:rPr>
        <w:fldChar w:fldCharType="separate"/>
      </w:r>
      <w:r w:rsidR="00EE1915">
        <w:rPr>
          <w:sz w:val="24"/>
          <w:szCs w:val="24"/>
        </w:rPr>
        <w:t>[2]</w:t>
      </w:r>
      <w:r w:rsidR="00EE1915">
        <w:rPr>
          <w:sz w:val="24"/>
          <w:szCs w:val="24"/>
        </w:rPr>
        <w:fldChar w:fldCharType="end"/>
      </w:r>
      <w:r w:rsidR="00EE1915">
        <w:rPr>
          <w:sz w:val="24"/>
          <w:szCs w:val="24"/>
        </w:rPr>
        <w:t xml:space="preserve">  (section 5.1.1.1)</w:t>
      </w:r>
      <w:r>
        <w:rPr>
          <w:sz w:val="24"/>
          <w:szCs w:val="24"/>
        </w:rPr>
        <w:t xml:space="preserve"> is </w:t>
      </w:r>
      <w:r w:rsidRPr="00690016">
        <w:rPr>
          <w:sz w:val="24"/>
          <w:szCs w:val="24"/>
        </w:rPr>
        <w:t>46875</w:t>
      </w:r>
      <w:r>
        <w:rPr>
          <w:sz w:val="24"/>
          <w:szCs w:val="24"/>
        </w:rPr>
        <w:t xml:space="preserve"> bytes. The UE can use this value to switch between BSR tables. If the buffer size is less than </w:t>
      </w:r>
      <w:r w:rsidRPr="00690016">
        <w:rPr>
          <w:sz w:val="24"/>
          <w:szCs w:val="24"/>
        </w:rPr>
        <w:t>46875</w:t>
      </w:r>
      <w:r>
        <w:rPr>
          <w:sz w:val="24"/>
          <w:szCs w:val="24"/>
        </w:rPr>
        <w:t xml:space="preserve"> bytes the legacy table is selected otherwise the new table is utilized. The threshold is dependent on the AR video data rate and the frame rate and could be configured by the gNB to the UE. </w:t>
      </w:r>
    </w:p>
    <w:p w14:paraId="61D0019B" w14:textId="77777777" w:rsidR="00BC370B" w:rsidRPr="00EE036A" w:rsidRDefault="00BC370B" w:rsidP="00BC370B">
      <w:pPr>
        <w:jc w:val="both"/>
        <w:rPr>
          <w:sz w:val="24"/>
          <w:szCs w:val="24"/>
        </w:rPr>
      </w:pPr>
    </w:p>
    <w:p w14:paraId="7E6DEE3C" w14:textId="6F656C86" w:rsidR="00690016" w:rsidRPr="009C05F0" w:rsidRDefault="00BC370B" w:rsidP="00BC370B">
      <w:pPr>
        <w:pStyle w:val="ListParagraph"/>
        <w:numPr>
          <w:ilvl w:val="0"/>
          <w:numId w:val="31"/>
        </w:numPr>
        <w:rPr>
          <w:sz w:val="24"/>
          <w:szCs w:val="24"/>
        </w:rPr>
      </w:pPr>
      <w:r w:rsidRPr="00BC370B">
        <w:rPr>
          <w:rFonts w:ascii="Times New Roman" w:eastAsiaTheme="minorEastAsia" w:hAnsi="Times New Roman"/>
          <w:b/>
          <w:bCs/>
          <w:i/>
          <w:iCs/>
          <w:noProof/>
          <w:sz w:val="24"/>
          <w:szCs w:val="24"/>
          <w:lang w:val="en-GB" w:eastAsia="zh-CN"/>
        </w:rPr>
        <w:t xml:space="preserve">A new BSR table to be defined with the selection determined by a buffer size threshold. </w:t>
      </w:r>
    </w:p>
    <w:p w14:paraId="21015574" w14:textId="4097AA6F" w:rsidR="009C05F0" w:rsidRPr="009C05F0" w:rsidRDefault="009C05F0" w:rsidP="009C05F0">
      <w:pPr>
        <w:rPr>
          <w:sz w:val="24"/>
          <w:szCs w:val="24"/>
        </w:rPr>
      </w:pPr>
      <w:r>
        <w:rPr>
          <w:sz w:val="24"/>
          <w:szCs w:val="24"/>
        </w:rPr>
        <w:t xml:space="preserve">The new BSR table could be designed to have a uniform step between the threshold </w:t>
      </w:r>
      <m:oMath>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T</m:t>
            </m:r>
          </m:sub>
        </m:sSub>
      </m:oMath>
      <w:r>
        <w:rPr>
          <w:sz w:val="24"/>
          <w:szCs w:val="24"/>
        </w:rPr>
        <w:t xml:space="preserve"> and the maximum size.</w:t>
      </w:r>
    </w:p>
    <w:p w14:paraId="14A40051" w14:textId="77777777" w:rsidR="000F0ED3" w:rsidRPr="00072936" w:rsidRDefault="000F0ED3" w:rsidP="000F0ED3">
      <w:pPr>
        <w:pStyle w:val="Heading1"/>
        <w:jc w:val="both"/>
        <w:rPr>
          <w:lang w:val="en-US"/>
        </w:rPr>
      </w:pPr>
      <w:r w:rsidRPr="00072936">
        <w:rPr>
          <w:lang w:val="en-US"/>
        </w:rPr>
        <w:t>Conclusion</w:t>
      </w:r>
    </w:p>
    <w:p w14:paraId="72ACE210" w14:textId="5125CC04" w:rsidR="000F0ED3" w:rsidRPr="00EE036A" w:rsidRDefault="000F0ED3" w:rsidP="000F0ED3">
      <w:pPr>
        <w:spacing w:after="120"/>
        <w:jc w:val="both"/>
        <w:textAlignment w:val="center"/>
        <w:rPr>
          <w:sz w:val="24"/>
          <w:szCs w:val="24"/>
        </w:rPr>
      </w:pPr>
      <w:r w:rsidRPr="00EE036A">
        <w:rPr>
          <w:sz w:val="24"/>
          <w:szCs w:val="24"/>
        </w:rPr>
        <w:t xml:space="preserve">In this contribution, we have presented several </w:t>
      </w:r>
      <w:r>
        <w:rPr>
          <w:sz w:val="24"/>
          <w:szCs w:val="24"/>
        </w:rPr>
        <w:t xml:space="preserve">proposals to </w:t>
      </w:r>
      <w:r w:rsidR="00183242">
        <w:rPr>
          <w:sz w:val="24"/>
          <w:szCs w:val="24"/>
        </w:rPr>
        <w:t xml:space="preserve">for the </w:t>
      </w:r>
      <w:r>
        <w:rPr>
          <w:rFonts w:eastAsia="Times New Roman"/>
          <w:color w:val="000000" w:themeColor="text1"/>
          <w:sz w:val="24"/>
          <w:szCs w:val="24"/>
          <w:lang w:val="en-US"/>
        </w:rPr>
        <w:t xml:space="preserve"> </w:t>
      </w:r>
    </w:p>
    <w:p w14:paraId="6D697A51" w14:textId="77777777" w:rsidR="000F0ED3" w:rsidRDefault="000F0ED3" w:rsidP="000F0ED3">
      <w:pPr>
        <w:spacing w:after="120"/>
        <w:jc w:val="both"/>
        <w:textAlignment w:val="center"/>
        <w:rPr>
          <w:sz w:val="24"/>
          <w:szCs w:val="24"/>
        </w:rPr>
      </w:pPr>
      <w:r w:rsidRPr="00EE036A">
        <w:rPr>
          <w:sz w:val="24"/>
          <w:szCs w:val="24"/>
        </w:rPr>
        <w:t xml:space="preserve">We made the following proposals: </w:t>
      </w:r>
    </w:p>
    <w:p w14:paraId="02867508" w14:textId="77777777" w:rsidR="000F0ED3" w:rsidRPr="00BC370B" w:rsidRDefault="000F0ED3" w:rsidP="000F0ED3">
      <w:pPr>
        <w:jc w:val="both"/>
        <w:rPr>
          <w:sz w:val="24"/>
          <w:szCs w:val="24"/>
        </w:rPr>
      </w:pPr>
    </w:p>
    <w:p w14:paraId="7B447444"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Rel-16 NR-U multiple CG PUSCH transmission occasions scheme can be extended to XR with some enhancements.</w:t>
      </w:r>
    </w:p>
    <w:p w14:paraId="0C2D5609"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The legacy configuredGrantTimer can be used for each PUSCH occasion of the multiple CG PUSCH transmission occasions instead of the cg-RetransmissionTimer used in NR-U.</w:t>
      </w:r>
    </w:p>
    <w:p w14:paraId="424A4F17"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Ajust the HARQ Process ID formula to take the multiple CG PUSCH occasions into consideration.</w:t>
      </w:r>
    </w:p>
    <w:p w14:paraId="37C90B8F"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Single DCI scheduling multiple PUSCH occasions retransmission should be used to reduce PDCCH signalling overhead and the UE monitoring effort.</w:t>
      </w:r>
    </w:p>
    <w:p w14:paraId="36CD3D7F"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DCI format 0_1 scrambled with CS-RNTI and with the DFI flag enabled and set to 1 can be used for the UL XR traffic to carry the HARQ-ACK bitmap for all HARQ processes transmitted in the CG periods.</w:t>
      </w:r>
    </w:p>
    <w:p w14:paraId="7ABD1516"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Different DMRS configurations should be allowed for the different CG-PUSCH occasions in the same CG period.</w:t>
      </w:r>
    </w:p>
    <w:p w14:paraId="42DEF909"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The design of multiple CG-PUSCH transmission occasions should take operation in the TDD mode into considertation. </w:t>
      </w:r>
    </w:p>
    <w:p w14:paraId="7F049479"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Introduce a new bit-field in the CG-UCI to allow the UE to signal to the gNB which CG-PUSCH occasions it will not be using.  </w:t>
      </w:r>
    </w:p>
    <w:p w14:paraId="6DC0EDBA" w14:textId="77777777" w:rsidR="000F0ED3" w:rsidRPr="00BC370B" w:rsidRDefault="000F0ED3" w:rsidP="000F0ED3">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To improve system efficiency by cancelling unused CG-PUSCH occasions: </w:t>
      </w:r>
    </w:p>
    <w:p w14:paraId="1D6CD782" w14:textId="77777777" w:rsidR="000F0ED3" w:rsidRPr="00BC370B" w:rsidRDefault="000F0ED3" w:rsidP="000F0ED3">
      <w:pPr>
        <w:pStyle w:val="ListParagraph"/>
        <w:numPr>
          <w:ilvl w:val="0"/>
          <w:numId w:val="22"/>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Option 1: Use a bitmap in the signalled UCI on the first CG-PUSCH occasion in the CG period to indicate which CG-PUSCH occasions are to be used and which ones are to be cncelled</w:t>
      </w:r>
    </w:p>
    <w:p w14:paraId="2FEFFEF4" w14:textId="6AB195A4" w:rsidR="00BC370B" w:rsidRPr="00BC370B" w:rsidRDefault="000F0ED3" w:rsidP="00BC370B">
      <w:pPr>
        <w:pStyle w:val="ListParagraph"/>
        <w:numPr>
          <w:ilvl w:val="0"/>
          <w:numId w:val="22"/>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lastRenderedPageBreak/>
        <w:t>Option 2: Send a single indication on the last CG-PUSCH occasion to be used in the CG period which would cancel all remaining CG-PUSCH occasions.</w:t>
      </w:r>
    </w:p>
    <w:p w14:paraId="290712D7" w14:textId="33DFF049" w:rsidR="00BC370B" w:rsidRPr="00BC370B" w:rsidRDefault="00BC370B" w:rsidP="00BC370B">
      <w:pPr>
        <w:pStyle w:val="ListParagraph"/>
        <w:numPr>
          <w:ilvl w:val="0"/>
          <w:numId w:val="21"/>
        </w:numPr>
        <w:rPr>
          <w:rFonts w:ascii="Times New Roman" w:eastAsiaTheme="minorEastAsia" w:hAnsi="Times New Roman"/>
          <w:b/>
          <w:bCs/>
          <w:i/>
          <w:iCs/>
          <w:noProof/>
          <w:sz w:val="24"/>
          <w:szCs w:val="24"/>
          <w:lang w:val="en-GB" w:eastAsia="zh-CN"/>
        </w:rPr>
      </w:pPr>
      <w:r w:rsidRPr="00BC370B">
        <w:rPr>
          <w:rFonts w:ascii="Times New Roman" w:eastAsiaTheme="minorEastAsia" w:hAnsi="Times New Roman"/>
          <w:b/>
          <w:bCs/>
          <w:i/>
          <w:iCs/>
          <w:noProof/>
          <w:sz w:val="24"/>
          <w:szCs w:val="24"/>
          <w:lang w:val="en-GB" w:eastAsia="zh-CN"/>
        </w:rPr>
        <w:t xml:space="preserve">A new BSR table to be defined with the selection determined by a buffer size threshold. </w:t>
      </w:r>
    </w:p>
    <w:p w14:paraId="1BAB46C1" w14:textId="77777777" w:rsidR="000F0ED3" w:rsidRPr="0011072C" w:rsidRDefault="000F0ED3" w:rsidP="000F0ED3">
      <w:pPr>
        <w:pStyle w:val="ListParagraph"/>
        <w:rPr>
          <w:rFonts w:ascii="Times New Roman" w:eastAsiaTheme="minorEastAsia" w:hAnsi="Times New Roman"/>
          <w:b/>
          <w:bCs/>
          <w:i/>
          <w:iCs/>
          <w:noProof/>
          <w:lang w:val="en-GB" w:eastAsia="zh-CN"/>
        </w:rPr>
      </w:pPr>
    </w:p>
    <w:p w14:paraId="14C6177C" w14:textId="77777777" w:rsidR="000F0ED3" w:rsidRPr="00072936" w:rsidRDefault="000F0ED3" w:rsidP="000F0ED3">
      <w:pPr>
        <w:pStyle w:val="Heading1"/>
        <w:jc w:val="both"/>
        <w:rPr>
          <w:lang w:val="en-US"/>
        </w:rPr>
      </w:pPr>
      <w:r w:rsidRPr="00072936">
        <w:rPr>
          <w:rFonts w:hint="eastAsia"/>
          <w:lang w:val="en-US"/>
        </w:rPr>
        <w:t>References</w:t>
      </w:r>
    </w:p>
    <w:p w14:paraId="0E7F9A76" w14:textId="45BF97F0" w:rsidR="000F0ED3" w:rsidRDefault="000F0ED3" w:rsidP="000F0ED3">
      <w:pPr>
        <w:pStyle w:val="References"/>
        <w:numPr>
          <w:ilvl w:val="0"/>
          <w:numId w:val="16"/>
        </w:numPr>
        <w:autoSpaceDE w:val="0"/>
        <w:autoSpaceDN w:val="0"/>
        <w:snapToGrid w:val="0"/>
        <w:spacing w:after="60"/>
        <w:jc w:val="both"/>
        <w:rPr>
          <w:sz w:val="24"/>
        </w:rPr>
      </w:pPr>
      <w:bookmarkStart w:id="0" w:name="_Ref125548390"/>
      <w:r w:rsidRPr="00CD0148">
        <w:rPr>
          <w:sz w:val="24"/>
        </w:rPr>
        <w:t xml:space="preserve">RP-223502, </w:t>
      </w:r>
      <w:r w:rsidRPr="00EE036A">
        <w:rPr>
          <w:sz w:val="24"/>
        </w:rPr>
        <w:t>“</w:t>
      </w:r>
      <w:r w:rsidRPr="00CD0148">
        <w:rPr>
          <w:sz w:val="24"/>
        </w:rPr>
        <w:t>New WID on XR Enhancements for NR</w:t>
      </w:r>
      <w:r w:rsidRPr="00EE036A">
        <w:rPr>
          <w:sz w:val="24"/>
        </w:rPr>
        <w:t>” Nokia</w:t>
      </w:r>
      <w:r>
        <w:rPr>
          <w:sz w:val="24"/>
        </w:rPr>
        <w:t>, Qualcomm</w:t>
      </w:r>
      <w:r w:rsidRPr="00EE036A">
        <w:rPr>
          <w:sz w:val="24"/>
        </w:rPr>
        <w:t xml:space="preserve">, </w:t>
      </w:r>
      <w:r w:rsidRPr="00CD0148">
        <w:rPr>
          <w:sz w:val="24"/>
        </w:rPr>
        <w:t>3GPP TSG RAN Meeting #98-e</w:t>
      </w:r>
      <w:r w:rsidRPr="00EE036A">
        <w:rPr>
          <w:sz w:val="24"/>
        </w:rPr>
        <w:t>, Dec. 202</w:t>
      </w:r>
      <w:r>
        <w:rPr>
          <w:sz w:val="24"/>
        </w:rPr>
        <w:t>2</w:t>
      </w:r>
      <w:bookmarkEnd w:id="0"/>
    </w:p>
    <w:p w14:paraId="1B98649F" w14:textId="77777777" w:rsidR="00EE1915" w:rsidRPr="00C67A93" w:rsidRDefault="00EE1915" w:rsidP="00EE1915">
      <w:pPr>
        <w:pStyle w:val="ZT"/>
        <w:framePr w:wrap="auto" w:hAnchor="text" w:yAlign="inline"/>
        <w:numPr>
          <w:ilvl w:val="0"/>
          <w:numId w:val="16"/>
        </w:numPr>
        <w:jc w:val="left"/>
        <w:rPr>
          <w:rFonts w:ascii="Times New Roman" w:hAnsi="Times New Roman"/>
          <w:b w:val="0"/>
          <w:sz w:val="24"/>
          <w:szCs w:val="24"/>
        </w:rPr>
      </w:pPr>
      <w:bookmarkStart w:id="1" w:name="_Ref126595492"/>
      <w:r w:rsidRPr="00C67A93">
        <w:rPr>
          <w:rFonts w:ascii="Times New Roman" w:hAnsi="Times New Roman"/>
          <w:b w:val="0"/>
          <w:sz w:val="24"/>
          <w:szCs w:val="24"/>
        </w:rPr>
        <w:t xml:space="preserve">3GPP </w:t>
      </w:r>
      <w:bookmarkStart w:id="2" w:name="specType1"/>
      <w:r w:rsidRPr="00C67A93">
        <w:rPr>
          <w:rFonts w:ascii="Times New Roman" w:hAnsi="Times New Roman"/>
          <w:b w:val="0"/>
          <w:sz w:val="24"/>
          <w:szCs w:val="24"/>
        </w:rPr>
        <w:t>TR</w:t>
      </w:r>
      <w:bookmarkEnd w:id="2"/>
      <w:r w:rsidRPr="00C67A93">
        <w:rPr>
          <w:rFonts w:ascii="Times New Roman" w:hAnsi="Times New Roman"/>
          <w:b w:val="0"/>
          <w:sz w:val="24"/>
          <w:szCs w:val="24"/>
        </w:rPr>
        <w:t xml:space="preserve"> </w:t>
      </w:r>
      <w:bookmarkStart w:id="3" w:name="specNumber"/>
      <w:r w:rsidRPr="00C67A93">
        <w:rPr>
          <w:rFonts w:ascii="Times New Roman" w:hAnsi="Times New Roman"/>
          <w:b w:val="0"/>
          <w:sz w:val="24"/>
          <w:szCs w:val="24"/>
        </w:rPr>
        <w:t>38.</w:t>
      </w:r>
      <w:bookmarkEnd w:id="3"/>
      <w:r w:rsidRPr="00C67A93">
        <w:rPr>
          <w:rFonts w:ascii="Times New Roman" w:hAnsi="Times New Roman"/>
          <w:b w:val="0"/>
          <w:sz w:val="24"/>
          <w:szCs w:val="24"/>
        </w:rPr>
        <w:t>838 V</w:t>
      </w:r>
      <w:bookmarkStart w:id="4" w:name="specVersion"/>
      <w:r w:rsidRPr="00C67A93">
        <w:rPr>
          <w:rFonts w:ascii="Times New Roman" w:hAnsi="Times New Roman"/>
          <w:b w:val="0"/>
          <w:sz w:val="24"/>
          <w:szCs w:val="24"/>
        </w:rPr>
        <w:t>17.0.0</w:t>
      </w:r>
      <w:bookmarkEnd w:id="4"/>
      <w:r w:rsidRPr="00C67A93">
        <w:rPr>
          <w:rFonts w:ascii="Times New Roman" w:hAnsi="Times New Roman"/>
          <w:b w:val="0"/>
          <w:sz w:val="24"/>
          <w:szCs w:val="24"/>
        </w:rPr>
        <w:t xml:space="preserve"> (</w:t>
      </w:r>
      <w:bookmarkStart w:id="5" w:name="issueDate"/>
      <w:r w:rsidRPr="00C67A93">
        <w:rPr>
          <w:rFonts w:ascii="Times New Roman" w:hAnsi="Times New Roman"/>
          <w:b w:val="0"/>
          <w:sz w:val="24"/>
          <w:szCs w:val="24"/>
        </w:rPr>
        <w:t>2021-</w:t>
      </w:r>
      <w:bookmarkEnd w:id="5"/>
      <w:r w:rsidRPr="00C67A93">
        <w:rPr>
          <w:rFonts w:ascii="Times New Roman" w:hAnsi="Times New Roman"/>
          <w:b w:val="0"/>
          <w:sz w:val="24"/>
          <w:szCs w:val="24"/>
        </w:rPr>
        <w:t xml:space="preserve">12) Study on XR (Extended Reality) Evaluations for NR (Release </w:t>
      </w:r>
      <w:bookmarkStart w:id="6" w:name="specRelease"/>
      <w:r w:rsidRPr="00C67A93">
        <w:rPr>
          <w:rFonts w:ascii="Times New Roman" w:hAnsi="Times New Roman"/>
          <w:b w:val="0"/>
          <w:sz w:val="24"/>
          <w:szCs w:val="24"/>
        </w:rPr>
        <w:t>17</w:t>
      </w:r>
      <w:bookmarkEnd w:id="6"/>
      <w:r w:rsidRPr="00C67A93">
        <w:rPr>
          <w:rFonts w:ascii="Times New Roman" w:hAnsi="Times New Roman"/>
          <w:b w:val="0"/>
          <w:sz w:val="24"/>
          <w:szCs w:val="24"/>
        </w:rPr>
        <w:t>)</w:t>
      </w:r>
      <w:bookmarkEnd w:id="1"/>
    </w:p>
    <w:p w14:paraId="6234B88A" w14:textId="77777777" w:rsidR="00EE1915" w:rsidRPr="006363B9" w:rsidRDefault="00EE1915" w:rsidP="00EE1915">
      <w:pPr>
        <w:pStyle w:val="References"/>
        <w:numPr>
          <w:ilvl w:val="0"/>
          <w:numId w:val="0"/>
        </w:numPr>
        <w:autoSpaceDE w:val="0"/>
        <w:autoSpaceDN w:val="0"/>
        <w:snapToGrid w:val="0"/>
        <w:spacing w:after="60"/>
        <w:ind w:left="360"/>
        <w:jc w:val="both"/>
        <w:rPr>
          <w:sz w:val="24"/>
        </w:rPr>
      </w:pPr>
    </w:p>
    <w:p w14:paraId="50554D00" w14:textId="77777777" w:rsidR="000F0ED3" w:rsidRPr="00331E7B" w:rsidRDefault="000F0ED3" w:rsidP="000F0ED3">
      <w:pPr>
        <w:pStyle w:val="References"/>
        <w:numPr>
          <w:ilvl w:val="0"/>
          <w:numId w:val="0"/>
        </w:numPr>
        <w:autoSpaceDE w:val="0"/>
        <w:autoSpaceDN w:val="0"/>
        <w:snapToGrid w:val="0"/>
        <w:spacing w:after="60"/>
        <w:ind w:left="360"/>
        <w:jc w:val="both"/>
        <w:rPr>
          <w:sz w:val="24"/>
          <w:lang w:eastAsia="zh-CN"/>
        </w:rPr>
      </w:pPr>
    </w:p>
    <w:p w14:paraId="7377D250" w14:textId="77777777" w:rsidR="000F0ED3" w:rsidRDefault="000F0ED3" w:rsidP="000F0ED3">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6CC34AE" w14:textId="77777777" w:rsidR="000F0ED3" w:rsidRDefault="000F0ED3" w:rsidP="000F0ED3">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730DED85" w14:textId="77777777" w:rsidR="000F0ED3" w:rsidRPr="006363B9" w:rsidRDefault="000F0ED3" w:rsidP="000F0ED3">
      <w:pPr>
        <w:pStyle w:val="Caption"/>
        <w:jc w:val="center"/>
        <w:rPr>
          <w:rFonts w:eastAsia="Times New Roman"/>
          <w:i w:val="0"/>
          <w:iCs w:val="0"/>
          <w:color w:val="auto"/>
          <w:sz w:val="24"/>
          <w:szCs w:val="24"/>
          <w:lang w:val="en-US" w:eastAsia="zh-CN"/>
        </w:rPr>
      </w:pPr>
    </w:p>
    <w:p w14:paraId="1C7EADCD" w14:textId="033E68FD" w:rsidR="00C32F92" w:rsidRDefault="00C32F92" w:rsidP="00F75047">
      <w:pPr>
        <w:ind w:left="1080" w:hanging="1080"/>
        <w:rPr>
          <w:b/>
          <w:color w:val="000000"/>
        </w:rPr>
      </w:pPr>
    </w:p>
    <w:sectPr w:rsidR="00C32F92">
      <w:headerReference w:type="even" r:id="rId13"/>
      <w:headerReference w:type="default" r:id="rId14"/>
      <w:footerReference w:type="default" r:id="rId15"/>
      <w:headerReference w:type="first" r:id="rId16"/>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33082" w14:textId="77777777" w:rsidR="00BC367F" w:rsidRDefault="00BC367F">
      <w:pPr>
        <w:spacing w:after="0"/>
      </w:pPr>
      <w:r>
        <w:separator/>
      </w:r>
    </w:p>
  </w:endnote>
  <w:endnote w:type="continuationSeparator" w:id="0">
    <w:p w14:paraId="30C52D0A" w14:textId="77777777" w:rsidR="00BC367F" w:rsidRDefault="00BC3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D81AD" w14:textId="77777777" w:rsidR="00BC367F" w:rsidRDefault="00BC367F">
      <w:pPr>
        <w:spacing w:after="0"/>
      </w:pPr>
      <w:r>
        <w:separator/>
      </w:r>
    </w:p>
  </w:footnote>
  <w:footnote w:type="continuationSeparator" w:id="0">
    <w:p w14:paraId="525112A0" w14:textId="77777777" w:rsidR="00BC367F" w:rsidRDefault="00BC36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0A272F3B"/>
    <w:multiLevelType w:val="multilevel"/>
    <w:tmpl w:val="53069CF8"/>
    <w:styleLink w:val="CurrentList4"/>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960602"/>
    <w:multiLevelType w:val="hybridMultilevel"/>
    <w:tmpl w:val="297CE3D0"/>
    <w:lvl w:ilvl="0" w:tplc="23FE2868">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11CAF"/>
    <w:multiLevelType w:val="multilevel"/>
    <w:tmpl w:val="297CE3D0"/>
    <w:styleLink w:val="CurrentList2"/>
    <w:lvl w:ilvl="0">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02305"/>
    <w:multiLevelType w:val="multilevel"/>
    <w:tmpl w:val="78DADE00"/>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B2101B"/>
    <w:multiLevelType w:val="hybridMultilevel"/>
    <w:tmpl w:val="23501D86"/>
    <w:lvl w:ilvl="0" w:tplc="AD4CD612">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13CB0854"/>
    <w:multiLevelType w:val="hybridMultilevel"/>
    <w:tmpl w:val="5030BA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47463"/>
    <w:multiLevelType w:val="hybridMultilevel"/>
    <w:tmpl w:val="0268C7EA"/>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F927B3"/>
    <w:multiLevelType w:val="multilevel"/>
    <w:tmpl w:val="31F4AA9E"/>
    <w:styleLink w:val="CurrentList5"/>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334AC5"/>
    <w:multiLevelType w:val="multilevel"/>
    <w:tmpl w:val="B9544982"/>
    <w:styleLink w:val="CurrentList1"/>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2" w15:restartNumberingAfterBreak="0">
    <w:nsid w:val="2D380AD0"/>
    <w:multiLevelType w:val="hybridMultilevel"/>
    <w:tmpl w:val="20F821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8C0A10"/>
    <w:multiLevelType w:val="hybridMultilevel"/>
    <w:tmpl w:val="C81A03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FBD6682"/>
    <w:multiLevelType w:val="multilevel"/>
    <w:tmpl w:val="8BD056E0"/>
    <w:styleLink w:val="CurrentList6"/>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55D"/>
    <w:multiLevelType w:val="hybridMultilevel"/>
    <w:tmpl w:val="6F186A8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50166A"/>
    <w:multiLevelType w:val="hybridMultilevel"/>
    <w:tmpl w:val="3C2A8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D62DAD"/>
    <w:multiLevelType w:val="hybridMultilevel"/>
    <w:tmpl w:val="25C6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D35A8"/>
    <w:multiLevelType w:val="hybridMultilevel"/>
    <w:tmpl w:val="5AAAB8F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6BC29C4"/>
    <w:multiLevelType w:val="multilevel"/>
    <w:tmpl w:val="940E7E82"/>
    <w:styleLink w:val="CurrentList3"/>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480E11"/>
    <w:multiLevelType w:val="hybridMultilevel"/>
    <w:tmpl w:val="98D6C698"/>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9"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32"/>
  </w:num>
  <w:num w:numId="2" w16cid:durableId="498429465">
    <w:abstractNumId w:val="28"/>
  </w:num>
  <w:num w:numId="3" w16cid:durableId="927738022">
    <w:abstractNumId w:val="34"/>
  </w:num>
  <w:num w:numId="4" w16cid:durableId="671421613">
    <w:abstractNumId w:val="30"/>
  </w:num>
  <w:num w:numId="5" w16cid:durableId="1318925413">
    <w:abstractNumId w:val="15"/>
  </w:num>
  <w:num w:numId="6" w16cid:durableId="558713174">
    <w:abstractNumId w:val="33"/>
  </w:num>
  <w:num w:numId="7" w16cid:durableId="971256338">
    <w:abstractNumId w:val="1"/>
  </w:num>
  <w:num w:numId="8" w16cid:durableId="1479806172">
    <w:abstractNumId w:val="19"/>
  </w:num>
  <w:num w:numId="9" w16cid:durableId="125632541">
    <w:abstractNumId w:val="35"/>
  </w:num>
  <w:num w:numId="10" w16cid:durableId="1345984514">
    <w:abstractNumId w:val="27"/>
  </w:num>
  <w:num w:numId="11" w16cid:durableId="970478479">
    <w:abstractNumId w:val="26"/>
  </w:num>
  <w:num w:numId="12" w16cid:durableId="846555480">
    <w:abstractNumId w:val="8"/>
  </w:num>
  <w:num w:numId="13" w16cid:durableId="998001052">
    <w:abstractNumId w:val="14"/>
  </w:num>
  <w:num w:numId="14" w16cid:durableId="212545312">
    <w:abstractNumId w:val="31"/>
  </w:num>
  <w:num w:numId="15" w16cid:durableId="1230573026">
    <w:abstractNumId w:val="0"/>
  </w:num>
  <w:num w:numId="16" w16cid:durableId="1386367772">
    <w:abstractNumId w:val="17"/>
  </w:num>
  <w:num w:numId="17" w16cid:durableId="1127046410">
    <w:abstractNumId w:val="29"/>
  </w:num>
  <w:num w:numId="18" w16cid:durableId="121726730">
    <w:abstractNumId w:val="5"/>
  </w:num>
  <w:num w:numId="19" w16cid:durableId="689070834">
    <w:abstractNumId w:val="3"/>
  </w:num>
  <w:num w:numId="20" w16cid:durableId="1021468781">
    <w:abstractNumId w:val="7"/>
  </w:num>
  <w:num w:numId="21" w16cid:durableId="93788577">
    <w:abstractNumId w:val="20"/>
  </w:num>
  <w:num w:numId="22" w16cid:durableId="1512646204">
    <w:abstractNumId w:val="16"/>
  </w:num>
  <w:num w:numId="23" w16cid:durableId="2081294873">
    <w:abstractNumId w:val="9"/>
  </w:num>
  <w:num w:numId="24" w16cid:durableId="1100494042">
    <w:abstractNumId w:val="23"/>
  </w:num>
  <w:num w:numId="25" w16cid:durableId="1020550619">
    <w:abstractNumId w:val="25"/>
  </w:num>
  <w:num w:numId="26" w16cid:durableId="2128429452">
    <w:abstractNumId w:val="22"/>
  </w:num>
  <w:num w:numId="27" w16cid:durableId="551698567">
    <w:abstractNumId w:val="21"/>
  </w:num>
  <w:num w:numId="28" w16cid:durableId="218169672">
    <w:abstractNumId w:val="12"/>
  </w:num>
  <w:num w:numId="29" w16cid:durableId="537664303">
    <w:abstractNumId w:val="6"/>
  </w:num>
  <w:num w:numId="30" w16cid:durableId="715661889">
    <w:abstractNumId w:val="11"/>
  </w:num>
  <w:num w:numId="31" w16cid:durableId="245186404">
    <w:abstractNumId w:val="13"/>
  </w:num>
  <w:num w:numId="32" w16cid:durableId="439496921">
    <w:abstractNumId w:val="4"/>
  </w:num>
  <w:num w:numId="33" w16cid:durableId="1817380924">
    <w:abstractNumId w:val="24"/>
  </w:num>
  <w:num w:numId="34" w16cid:durableId="965311978">
    <w:abstractNumId w:val="2"/>
  </w:num>
  <w:num w:numId="35" w16cid:durableId="942612233">
    <w:abstractNumId w:val="10"/>
  </w:num>
  <w:num w:numId="36" w16cid:durableId="17265638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FCD"/>
    <w:rsid w:val="0006154A"/>
    <w:rsid w:val="00063560"/>
    <w:rsid w:val="00064AFE"/>
    <w:rsid w:val="0006596E"/>
    <w:rsid w:val="000675A3"/>
    <w:rsid w:val="000728CD"/>
    <w:rsid w:val="00074744"/>
    <w:rsid w:val="00074C20"/>
    <w:rsid w:val="00085ABC"/>
    <w:rsid w:val="00090199"/>
    <w:rsid w:val="000955E7"/>
    <w:rsid w:val="000975EC"/>
    <w:rsid w:val="00097F8E"/>
    <w:rsid w:val="000A02FF"/>
    <w:rsid w:val="000A5E7D"/>
    <w:rsid w:val="000A6E4B"/>
    <w:rsid w:val="000B3272"/>
    <w:rsid w:val="000B3F14"/>
    <w:rsid w:val="000B7E9E"/>
    <w:rsid w:val="000C05DF"/>
    <w:rsid w:val="000C2318"/>
    <w:rsid w:val="000D436A"/>
    <w:rsid w:val="000D5F4D"/>
    <w:rsid w:val="000D7687"/>
    <w:rsid w:val="000E3792"/>
    <w:rsid w:val="000E3E76"/>
    <w:rsid w:val="000F0297"/>
    <w:rsid w:val="000F0ED3"/>
    <w:rsid w:val="000F26B4"/>
    <w:rsid w:val="000F2AAB"/>
    <w:rsid w:val="000F2BA4"/>
    <w:rsid w:val="000F7628"/>
    <w:rsid w:val="001027E0"/>
    <w:rsid w:val="001049E6"/>
    <w:rsid w:val="00106B3C"/>
    <w:rsid w:val="0010704E"/>
    <w:rsid w:val="001118EA"/>
    <w:rsid w:val="00111B19"/>
    <w:rsid w:val="00114A5A"/>
    <w:rsid w:val="00116EF5"/>
    <w:rsid w:val="00121492"/>
    <w:rsid w:val="001253D5"/>
    <w:rsid w:val="0012627C"/>
    <w:rsid w:val="00127939"/>
    <w:rsid w:val="00127F3D"/>
    <w:rsid w:val="0013352B"/>
    <w:rsid w:val="00133CBD"/>
    <w:rsid w:val="001374DC"/>
    <w:rsid w:val="00145761"/>
    <w:rsid w:val="00150E87"/>
    <w:rsid w:val="0015349F"/>
    <w:rsid w:val="00154CDE"/>
    <w:rsid w:val="001565D3"/>
    <w:rsid w:val="00164CCC"/>
    <w:rsid w:val="00167841"/>
    <w:rsid w:val="001715F5"/>
    <w:rsid w:val="00172AEA"/>
    <w:rsid w:val="00174AEC"/>
    <w:rsid w:val="001763E2"/>
    <w:rsid w:val="00181A09"/>
    <w:rsid w:val="00182054"/>
    <w:rsid w:val="00182264"/>
    <w:rsid w:val="00183242"/>
    <w:rsid w:val="00183577"/>
    <w:rsid w:val="00183D58"/>
    <w:rsid w:val="0018589E"/>
    <w:rsid w:val="00186D4A"/>
    <w:rsid w:val="00187D78"/>
    <w:rsid w:val="0019017C"/>
    <w:rsid w:val="00191014"/>
    <w:rsid w:val="00192D5B"/>
    <w:rsid w:val="00194C4B"/>
    <w:rsid w:val="00195D87"/>
    <w:rsid w:val="001967B1"/>
    <w:rsid w:val="001A3052"/>
    <w:rsid w:val="001B1169"/>
    <w:rsid w:val="001B263D"/>
    <w:rsid w:val="001C246C"/>
    <w:rsid w:val="001C53D9"/>
    <w:rsid w:val="001D2BD5"/>
    <w:rsid w:val="001E01E2"/>
    <w:rsid w:val="001E0BE7"/>
    <w:rsid w:val="001E6FB8"/>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4FA3"/>
    <w:rsid w:val="00235682"/>
    <w:rsid w:val="00235FEE"/>
    <w:rsid w:val="00236BD9"/>
    <w:rsid w:val="00243322"/>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D52F8"/>
    <w:rsid w:val="002D7ADA"/>
    <w:rsid w:val="002E13B6"/>
    <w:rsid w:val="002E1896"/>
    <w:rsid w:val="002E666A"/>
    <w:rsid w:val="002E71C2"/>
    <w:rsid w:val="002F0FFF"/>
    <w:rsid w:val="002F395F"/>
    <w:rsid w:val="002F77D9"/>
    <w:rsid w:val="003130B1"/>
    <w:rsid w:val="00317721"/>
    <w:rsid w:val="003255CB"/>
    <w:rsid w:val="00332736"/>
    <w:rsid w:val="00333DC3"/>
    <w:rsid w:val="00342FB4"/>
    <w:rsid w:val="003446CF"/>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97602"/>
    <w:rsid w:val="003A5589"/>
    <w:rsid w:val="003A5B81"/>
    <w:rsid w:val="003A62B6"/>
    <w:rsid w:val="003A7CB3"/>
    <w:rsid w:val="003B19B1"/>
    <w:rsid w:val="003B2314"/>
    <w:rsid w:val="003C74E3"/>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4822"/>
    <w:rsid w:val="00410211"/>
    <w:rsid w:val="00411B9F"/>
    <w:rsid w:val="00412390"/>
    <w:rsid w:val="00414F38"/>
    <w:rsid w:val="00415385"/>
    <w:rsid w:val="00416612"/>
    <w:rsid w:val="00421336"/>
    <w:rsid w:val="00422873"/>
    <w:rsid w:val="00424D31"/>
    <w:rsid w:val="00424F02"/>
    <w:rsid w:val="00430B04"/>
    <w:rsid w:val="00430C02"/>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6DE3"/>
    <w:rsid w:val="0048454D"/>
    <w:rsid w:val="00485540"/>
    <w:rsid w:val="004900E6"/>
    <w:rsid w:val="0049339C"/>
    <w:rsid w:val="00496B8B"/>
    <w:rsid w:val="004A11D9"/>
    <w:rsid w:val="004A14A4"/>
    <w:rsid w:val="004A44C9"/>
    <w:rsid w:val="004A75A2"/>
    <w:rsid w:val="004B0A05"/>
    <w:rsid w:val="004B0A14"/>
    <w:rsid w:val="004B635B"/>
    <w:rsid w:val="004B6687"/>
    <w:rsid w:val="004B7406"/>
    <w:rsid w:val="004C0EC4"/>
    <w:rsid w:val="004D06F0"/>
    <w:rsid w:val="004D5F34"/>
    <w:rsid w:val="004D6668"/>
    <w:rsid w:val="004D7038"/>
    <w:rsid w:val="004D787C"/>
    <w:rsid w:val="004E0E36"/>
    <w:rsid w:val="004E11CC"/>
    <w:rsid w:val="004E19D1"/>
    <w:rsid w:val="004E23F0"/>
    <w:rsid w:val="004E2F5C"/>
    <w:rsid w:val="004E5CB4"/>
    <w:rsid w:val="004F3463"/>
    <w:rsid w:val="004F3CDB"/>
    <w:rsid w:val="00503505"/>
    <w:rsid w:val="0050744D"/>
    <w:rsid w:val="00507907"/>
    <w:rsid w:val="00510DA5"/>
    <w:rsid w:val="005110A1"/>
    <w:rsid w:val="00520432"/>
    <w:rsid w:val="00520821"/>
    <w:rsid w:val="00523608"/>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02B9"/>
    <w:rsid w:val="005C31BB"/>
    <w:rsid w:val="005C4B87"/>
    <w:rsid w:val="005D113A"/>
    <w:rsid w:val="005D2384"/>
    <w:rsid w:val="005D2BE0"/>
    <w:rsid w:val="005E006B"/>
    <w:rsid w:val="005E6DB2"/>
    <w:rsid w:val="005E7389"/>
    <w:rsid w:val="005E784E"/>
    <w:rsid w:val="005F1C88"/>
    <w:rsid w:val="005F427F"/>
    <w:rsid w:val="005F6997"/>
    <w:rsid w:val="00601CF9"/>
    <w:rsid w:val="006043C1"/>
    <w:rsid w:val="00610211"/>
    <w:rsid w:val="0061619C"/>
    <w:rsid w:val="0062180A"/>
    <w:rsid w:val="00624458"/>
    <w:rsid w:val="00627B4F"/>
    <w:rsid w:val="006305F2"/>
    <w:rsid w:val="00632F61"/>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4752"/>
    <w:rsid w:val="00674972"/>
    <w:rsid w:val="00674C3F"/>
    <w:rsid w:val="00686CEB"/>
    <w:rsid w:val="00690016"/>
    <w:rsid w:val="00692C2F"/>
    <w:rsid w:val="00696F77"/>
    <w:rsid w:val="006970F8"/>
    <w:rsid w:val="006A355C"/>
    <w:rsid w:val="006B2321"/>
    <w:rsid w:val="006B4831"/>
    <w:rsid w:val="006B76B3"/>
    <w:rsid w:val="006C1002"/>
    <w:rsid w:val="006C259D"/>
    <w:rsid w:val="006C2B7D"/>
    <w:rsid w:val="006C3DE4"/>
    <w:rsid w:val="006C4AFE"/>
    <w:rsid w:val="006C57B2"/>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3716"/>
    <w:rsid w:val="007A4D3F"/>
    <w:rsid w:val="007A5540"/>
    <w:rsid w:val="007B01B1"/>
    <w:rsid w:val="007B43A6"/>
    <w:rsid w:val="007B76B9"/>
    <w:rsid w:val="007B7834"/>
    <w:rsid w:val="007C2EAE"/>
    <w:rsid w:val="007D0AE6"/>
    <w:rsid w:val="007D1CFA"/>
    <w:rsid w:val="007E0FF6"/>
    <w:rsid w:val="007E73A9"/>
    <w:rsid w:val="007E73DB"/>
    <w:rsid w:val="007F0ACE"/>
    <w:rsid w:val="007F1CEB"/>
    <w:rsid w:val="007F2E38"/>
    <w:rsid w:val="007F38FC"/>
    <w:rsid w:val="007F641D"/>
    <w:rsid w:val="00800098"/>
    <w:rsid w:val="0080311B"/>
    <w:rsid w:val="00805FD6"/>
    <w:rsid w:val="008112CE"/>
    <w:rsid w:val="008150E0"/>
    <w:rsid w:val="00817272"/>
    <w:rsid w:val="00817CD6"/>
    <w:rsid w:val="008233CA"/>
    <w:rsid w:val="00826F76"/>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87FC7"/>
    <w:rsid w:val="00897AEE"/>
    <w:rsid w:val="008A3EAA"/>
    <w:rsid w:val="008B1E8C"/>
    <w:rsid w:val="008B3191"/>
    <w:rsid w:val="008B7400"/>
    <w:rsid w:val="008B79FF"/>
    <w:rsid w:val="008C3D54"/>
    <w:rsid w:val="008D0226"/>
    <w:rsid w:val="008D1FA4"/>
    <w:rsid w:val="008E20E0"/>
    <w:rsid w:val="008E21A3"/>
    <w:rsid w:val="008E362B"/>
    <w:rsid w:val="008E3EEF"/>
    <w:rsid w:val="008E5C5D"/>
    <w:rsid w:val="008E7160"/>
    <w:rsid w:val="008E7D68"/>
    <w:rsid w:val="008F3E15"/>
    <w:rsid w:val="008F76E4"/>
    <w:rsid w:val="00900D88"/>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64ABE"/>
    <w:rsid w:val="00970B77"/>
    <w:rsid w:val="0098088E"/>
    <w:rsid w:val="00983C38"/>
    <w:rsid w:val="00984085"/>
    <w:rsid w:val="0098540C"/>
    <w:rsid w:val="00992AC8"/>
    <w:rsid w:val="009949EE"/>
    <w:rsid w:val="009974D9"/>
    <w:rsid w:val="00997925"/>
    <w:rsid w:val="009A0872"/>
    <w:rsid w:val="009A2387"/>
    <w:rsid w:val="009A5D90"/>
    <w:rsid w:val="009B07C6"/>
    <w:rsid w:val="009B53D7"/>
    <w:rsid w:val="009B7F66"/>
    <w:rsid w:val="009C05F0"/>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B060F"/>
    <w:rsid w:val="00AB211B"/>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1963"/>
    <w:rsid w:val="00B45C3E"/>
    <w:rsid w:val="00B46C65"/>
    <w:rsid w:val="00B47496"/>
    <w:rsid w:val="00B54081"/>
    <w:rsid w:val="00B574B2"/>
    <w:rsid w:val="00B626D8"/>
    <w:rsid w:val="00B628BF"/>
    <w:rsid w:val="00B64DAA"/>
    <w:rsid w:val="00B762D9"/>
    <w:rsid w:val="00B817D4"/>
    <w:rsid w:val="00B866B9"/>
    <w:rsid w:val="00B87019"/>
    <w:rsid w:val="00B917EB"/>
    <w:rsid w:val="00B933B0"/>
    <w:rsid w:val="00B974EE"/>
    <w:rsid w:val="00BA1D6E"/>
    <w:rsid w:val="00BA776B"/>
    <w:rsid w:val="00BA7B2B"/>
    <w:rsid w:val="00BA7CB4"/>
    <w:rsid w:val="00BB0955"/>
    <w:rsid w:val="00BB4EE8"/>
    <w:rsid w:val="00BC045A"/>
    <w:rsid w:val="00BC08F3"/>
    <w:rsid w:val="00BC367F"/>
    <w:rsid w:val="00BC370B"/>
    <w:rsid w:val="00BC4061"/>
    <w:rsid w:val="00BC6F41"/>
    <w:rsid w:val="00BD00D5"/>
    <w:rsid w:val="00BD0D39"/>
    <w:rsid w:val="00BD160E"/>
    <w:rsid w:val="00BD46EF"/>
    <w:rsid w:val="00BE1AF6"/>
    <w:rsid w:val="00BF4038"/>
    <w:rsid w:val="00BF613A"/>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6433A"/>
    <w:rsid w:val="00C72719"/>
    <w:rsid w:val="00C73F3B"/>
    <w:rsid w:val="00C7641B"/>
    <w:rsid w:val="00C806D7"/>
    <w:rsid w:val="00C86FAF"/>
    <w:rsid w:val="00C9032F"/>
    <w:rsid w:val="00C93268"/>
    <w:rsid w:val="00C96901"/>
    <w:rsid w:val="00CA039E"/>
    <w:rsid w:val="00CA63F3"/>
    <w:rsid w:val="00CA79CB"/>
    <w:rsid w:val="00CB25E5"/>
    <w:rsid w:val="00CB493F"/>
    <w:rsid w:val="00CC16CD"/>
    <w:rsid w:val="00CD1381"/>
    <w:rsid w:val="00CD5493"/>
    <w:rsid w:val="00CE1AB0"/>
    <w:rsid w:val="00CE518B"/>
    <w:rsid w:val="00CE6337"/>
    <w:rsid w:val="00CE7329"/>
    <w:rsid w:val="00CF0ED0"/>
    <w:rsid w:val="00CF112E"/>
    <w:rsid w:val="00CF46A9"/>
    <w:rsid w:val="00CF4A66"/>
    <w:rsid w:val="00CF55A5"/>
    <w:rsid w:val="00D000AB"/>
    <w:rsid w:val="00D06EF3"/>
    <w:rsid w:val="00D0712B"/>
    <w:rsid w:val="00D104EB"/>
    <w:rsid w:val="00D128FE"/>
    <w:rsid w:val="00D149E1"/>
    <w:rsid w:val="00D216EB"/>
    <w:rsid w:val="00D31325"/>
    <w:rsid w:val="00D324E2"/>
    <w:rsid w:val="00D437E6"/>
    <w:rsid w:val="00D46BBF"/>
    <w:rsid w:val="00D5284E"/>
    <w:rsid w:val="00D538DA"/>
    <w:rsid w:val="00D5520B"/>
    <w:rsid w:val="00D55DB5"/>
    <w:rsid w:val="00D56B99"/>
    <w:rsid w:val="00D61DE6"/>
    <w:rsid w:val="00D64D5A"/>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5827"/>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7D25"/>
    <w:rsid w:val="00E10AC0"/>
    <w:rsid w:val="00E11DF6"/>
    <w:rsid w:val="00E14937"/>
    <w:rsid w:val="00E14A81"/>
    <w:rsid w:val="00E17C41"/>
    <w:rsid w:val="00E22FDA"/>
    <w:rsid w:val="00E25CB5"/>
    <w:rsid w:val="00E306B4"/>
    <w:rsid w:val="00E32AB6"/>
    <w:rsid w:val="00E3430D"/>
    <w:rsid w:val="00E368B5"/>
    <w:rsid w:val="00E36E00"/>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915"/>
    <w:rsid w:val="00EE1B65"/>
    <w:rsid w:val="00EE32CA"/>
    <w:rsid w:val="00EE77A0"/>
    <w:rsid w:val="00EF3A9A"/>
    <w:rsid w:val="00EF4E0C"/>
    <w:rsid w:val="00F042B1"/>
    <w:rsid w:val="00F1057A"/>
    <w:rsid w:val="00F16A94"/>
    <w:rsid w:val="00F16BCB"/>
    <w:rsid w:val="00F26A63"/>
    <w:rsid w:val="00F32C89"/>
    <w:rsid w:val="00F40D8E"/>
    <w:rsid w:val="00F51A16"/>
    <w:rsid w:val="00F567B2"/>
    <w:rsid w:val="00F57AB5"/>
    <w:rsid w:val="00F57FC7"/>
    <w:rsid w:val="00F60125"/>
    <w:rsid w:val="00F607F6"/>
    <w:rsid w:val="00F60D9A"/>
    <w:rsid w:val="00F70073"/>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70AE"/>
    <w:rsid w:val="00FA3942"/>
    <w:rsid w:val="00FB065D"/>
    <w:rsid w:val="00FB1F01"/>
    <w:rsid w:val="00FB5A21"/>
    <w:rsid w:val="00FB74E8"/>
    <w:rsid w:val="00FC06E3"/>
    <w:rsid w:val="00FC4C55"/>
    <w:rsid w:val="00FC5EDA"/>
    <w:rsid w:val="00FC7497"/>
    <w:rsid w:val="00FC7727"/>
    <w:rsid w:val="00FD2159"/>
    <w:rsid w:val="00FD2EB5"/>
    <w:rsid w:val="00FD2F72"/>
    <w:rsid w:val="00FD6642"/>
    <w:rsid w:val="00FE07D8"/>
    <w:rsid w:val="00FE36A4"/>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basedOn w:val="Normal"/>
    <w:link w:val="HeaderChar"/>
    <w:uiPriority w:val="99"/>
    <w:rsid w:val="00E3430D"/>
    <w:pPr>
      <w:tabs>
        <w:tab w:val="center" w:pos="4153"/>
        <w:tab w:val="right" w:pos="8306"/>
      </w:tabs>
      <w:spacing w:after="0"/>
    </w:pPr>
    <w:rPr>
      <w:rFonts w:eastAsia="SimSun"/>
      <w:lang w:eastAsia="en-US"/>
    </w:rPr>
  </w:style>
  <w:style w:type="character" w:customStyle="1" w:styleId="HeaderChar">
    <w:name w:val="Header Char"/>
    <w:basedOn w:val="DefaultParagraphFont"/>
    <w:link w:val="Header"/>
    <w:uiPriority w:val="99"/>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 w:type="paragraph" w:customStyle="1" w:styleId="References">
    <w:name w:val="References"/>
    <w:basedOn w:val="Normal"/>
    <w:rsid w:val="000F0ED3"/>
    <w:pPr>
      <w:numPr>
        <w:ilvl w:val="2"/>
        <w:numId w:val="15"/>
      </w:numPr>
      <w:spacing w:after="0"/>
    </w:pPr>
    <w:rPr>
      <w:rFonts w:eastAsia="Times New Roman"/>
      <w:szCs w:val="24"/>
      <w:lang w:val="en-US" w:eastAsia="en-US"/>
    </w:rPr>
  </w:style>
  <w:style w:type="paragraph" w:styleId="Caption">
    <w:name w:val="caption"/>
    <w:basedOn w:val="Normal"/>
    <w:next w:val="Normal"/>
    <w:uiPriority w:val="35"/>
    <w:unhideWhenUsed/>
    <w:qFormat/>
    <w:rsid w:val="000F0ED3"/>
    <w:pPr>
      <w:spacing w:after="200"/>
    </w:pPr>
    <w:rPr>
      <w:i/>
      <w:iCs/>
      <w:color w:val="1F497D" w:themeColor="text2"/>
      <w:sz w:val="18"/>
      <w:szCs w:val="18"/>
      <w:lang w:eastAsia="en-US"/>
    </w:rPr>
  </w:style>
  <w:style w:type="paragraph" w:customStyle="1" w:styleId="B2">
    <w:name w:val="B2"/>
    <w:basedOn w:val="List2"/>
    <w:link w:val="B2Char"/>
    <w:rsid w:val="000F0ED3"/>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0F0ED3"/>
    <w:rPr>
      <w:rFonts w:eastAsia="Times New Roman"/>
      <w:lang w:eastAsia="en-GB"/>
    </w:rPr>
  </w:style>
  <w:style w:type="paragraph" w:styleId="List2">
    <w:name w:val="List 2"/>
    <w:basedOn w:val="Normal"/>
    <w:uiPriority w:val="99"/>
    <w:semiHidden/>
    <w:unhideWhenUsed/>
    <w:rsid w:val="000F0ED3"/>
    <w:pPr>
      <w:ind w:left="566" w:hanging="283"/>
      <w:contextualSpacing/>
    </w:pPr>
  </w:style>
  <w:style w:type="numbering" w:customStyle="1" w:styleId="CurrentList1">
    <w:name w:val="Current List1"/>
    <w:uiPriority w:val="99"/>
    <w:rsid w:val="00DD5827"/>
    <w:pPr>
      <w:numPr>
        <w:numId w:val="30"/>
      </w:numPr>
    </w:pPr>
  </w:style>
  <w:style w:type="numbering" w:customStyle="1" w:styleId="CurrentList2">
    <w:name w:val="Current List2"/>
    <w:uiPriority w:val="99"/>
    <w:rsid w:val="00BC370B"/>
    <w:pPr>
      <w:numPr>
        <w:numId w:val="32"/>
      </w:numPr>
    </w:pPr>
  </w:style>
  <w:style w:type="numbering" w:customStyle="1" w:styleId="CurrentList3">
    <w:name w:val="Current List3"/>
    <w:uiPriority w:val="99"/>
    <w:rsid w:val="00BC370B"/>
    <w:pPr>
      <w:numPr>
        <w:numId w:val="33"/>
      </w:numPr>
    </w:pPr>
  </w:style>
  <w:style w:type="numbering" w:customStyle="1" w:styleId="CurrentList4">
    <w:name w:val="Current List4"/>
    <w:uiPriority w:val="99"/>
    <w:rsid w:val="00BC370B"/>
    <w:pPr>
      <w:numPr>
        <w:numId w:val="34"/>
      </w:numPr>
    </w:pPr>
  </w:style>
  <w:style w:type="numbering" w:customStyle="1" w:styleId="CurrentList5">
    <w:name w:val="Current List5"/>
    <w:uiPriority w:val="99"/>
    <w:rsid w:val="00BC370B"/>
    <w:pPr>
      <w:numPr>
        <w:numId w:val="35"/>
      </w:numPr>
    </w:pPr>
  </w:style>
  <w:style w:type="numbering" w:customStyle="1" w:styleId="CurrentList6">
    <w:name w:val="Current List6"/>
    <w:uiPriority w:val="99"/>
    <w:rsid w:val="00BC370B"/>
    <w:pPr>
      <w:numPr>
        <w:numId w:val="36"/>
      </w:numPr>
    </w:pPr>
  </w:style>
  <w:style w:type="paragraph" w:customStyle="1" w:styleId="ZT">
    <w:name w:val="ZT"/>
    <w:qFormat/>
    <w:rsid w:val="00EE1915"/>
    <w:pPr>
      <w:framePr w:wrap="notBeside" w:hAnchor="margin" w:yAlign="center"/>
      <w:widowControl w:val="0"/>
      <w:spacing w:after="0" w:line="240" w:lineRule="atLeast"/>
      <w:jc w:val="right"/>
    </w:pPr>
    <w:rPr>
      <w:rFonts w:ascii="Arial" w:eastAsia="Times New Roman"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haretechnote.com/html/5G/5G_ConfiguredScheduling.html" TargetMode="External"/><Relationship Id="rId4" Type="http://schemas.openxmlformats.org/officeDocument/2006/relationships/settings" Target="settings.xml"/><Relationship Id="rId9" Type="http://schemas.openxmlformats.org/officeDocument/2006/relationships/hyperlink" Target="https://www.sharetechnote.com/html/5G/5G_ConfiguredScheduling.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2413</Words>
  <Characters>13758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2023-02-15T19:54:00Z</dcterms:created>
  <dcterms:modified xsi:type="dcterms:W3CDTF">2023-02-15T19:54:00Z</dcterms:modified>
</cp:coreProperties>
</file>